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AC" w:rsidRPr="00777CAC" w:rsidRDefault="00777CAC" w:rsidP="00777CA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Secondments at the </w:t>
      </w:r>
      <w:r w:rsidRPr="00777CAC">
        <w:rPr>
          <w:b/>
          <w:u w:val="single"/>
        </w:rPr>
        <w:t>Local Government Finance Directorate, Ministry of Housing, Communities and Local Government</w:t>
      </w:r>
    </w:p>
    <w:p w:rsidR="009A64C5" w:rsidRDefault="009A64C5" w:rsidP="000C5BBB">
      <w:pPr>
        <w:spacing w:line="240" w:lineRule="auto"/>
      </w:pPr>
      <w:r>
        <w:t xml:space="preserve">MHCLG is in the middle of an </w:t>
      </w:r>
      <w:r w:rsidR="00AA7E16">
        <w:t>exciting programme</w:t>
      </w:r>
      <w:r>
        <w:t xml:space="preserve"> to reform the local government finance system so that it supports local authorities to provide sustainable, high quality public services beyond the current spending period</w:t>
      </w:r>
      <w:r w:rsidR="00453925">
        <w:t>, whilst balancing the impact of taxation on businesses and council tax payers</w:t>
      </w:r>
      <w:r>
        <w:t xml:space="preserve">. We are looking for committed and enthusiastic individuals with local government experience to join the Department on temporary secondment to help develop and deliver this major reform </w:t>
      </w:r>
      <w:r w:rsidR="00453925">
        <w:t xml:space="preserve">and taxation </w:t>
      </w:r>
      <w:r>
        <w:t>programme.</w:t>
      </w:r>
    </w:p>
    <w:p w:rsidR="009A64C5" w:rsidRPr="00A7718A" w:rsidRDefault="009A64C5" w:rsidP="000C5BBB">
      <w:pPr>
        <w:spacing w:line="240" w:lineRule="auto"/>
      </w:pPr>
      <w:r w:rsidRPr="00A7718A">
        <w:t xml:space="preserve">There are a range of opportunities available, </w:t>
      </w:r>
      <w:r>
        <w:t>at all grades</w:t>
      </w:r>
      <w:r w:rsidRPr="00A7718A">
        <w:t>, to work across the directorate to take forward policy development and delivery on a n</w:t>
      </w:r>
      <w:r>
        <w:t>umber of ministerial priorities:</w:t>
      </w:r>
      <w:r w:rsidRPr="00A7718A">
        <w:t xml:space="preserve"> </w:t>
      </w:r>
    </w:p>
    <w:p w:rsidR="009A64C5" w:rsidRPr="00A7718A" w:rsidRDefault="009A64C5" w:rsidP="000C5BBB">
      <w:pPr>
        <w:spacing w:line="240" w:lineRule="auto"/>
      </w:pPr>
      <w:r w:rsidRPr="00A7718A">
        <w:t>- Delivering the Fair Funding Review of local authority needs and resources;</w:t>
      </w:r>
    </w:p>
    <w:p w:rsidR="009A64C5" w:rsidRDefault="009A64C5" w:rsidP="000C5BBB">
      <w:pPr>
        <w:spacing w:line="240" w:lineRule="auto"/>
      </w:pPr>
      <w:r w:rsidRPr="00A7718A">
        <w:t>- Preparing for the upcoming Spending Review</w:t>
      </w:r>
      <w:r>
        <w:t xml:space="preserve"> in 2019</w:t>
      </w:r>
      <w:r w:rsidRPr="00A7718A">
        <w:t>;</w:t>
      </w:r>
    </w:p>
    <w:p w:rsidR="009A64C5" w:rsidRDefault="009A64C5" w:rsidP="000C5BBB">
      <w:pPr>
        <w:spacing w:line="240" w:lineRule="auto"/>
      </w:pPr>
      <w:r>
        <w:t>- Working on the upcoming Adult Social Care Green Paper;</w:t>
      </w:r>
    </w:p>
    <w:p w:rsidR="009A64C5" w:rsidRPr="00A7718A" w:rsidRDefault="009A64C5" w:rsidP="000C5BBB">
      <w:pPr>
        <w:spacing w:line="240" w:lineRule="auto"/>
      </w:pPr>
      <w:r w:rsidRPr="00A7718A">
        <w:t>- Meeting manifesto commitments to deliver significant reforms to business rates retention;</w:t>
      </w:r>
    </w:p>
    <w:p w:rsidR="009A64C5" w:rsidRPr="00A7718A" w:rsidRDefault="005164D0" w:rsidP="000C5BBB">
      <w:pPr>
        <w:spacing w:line="240" w:lineRule="auto"/>
      </w:pPr>
      <w:r>
        <w:t xml:space="preserve">- Continuing to develop and reform of the local tax regime (council tax and business rates), </w:t>
      </w:r>
      <w:r w:rsidR="00453925">
        <w:t>ensuring the smooth passage of leg</w:t>
      </w:r>
      <w:r>
        <w:t>isl</w:t>
      </w:r>
      <w:r w:rsidR="00453925">
        <w:t>ation currently in Parliament</w:t>
      </w:r>
      <w:r w:rsidR="009A64C5">
        <w:t>; and,</w:t>
      </w:r>
    </w:p>
    <w:p w:rsidR="009A64C5" w:rsidRPr="00A7718A" w:rsidRDefault="009A64C5" w:rsidP="000C5BBB">
      <w:pPr>
        <w:spacing w:line="240" w:lineRule="auto"/>
      </w:pPr>
      <w:r w:rsidRPr="00A7718A">
        <w:t xml:space="preserve">- Overseeing the accurate delivery of a complex and intricate local government finance system, including the collection of </w:t>
      </w:r>
      <w:r w:rsidR="005164D0">
        <w:t xml:space="preserve">£50 billion of </w:t>
      </w:r>
      <w:r w:rsidRPr="00A7718A">
        <w:t>tax</w:t>
      </w:r>
      <w:r w:rsidR="005164D0">
        <w:t>es</w:t>
      </w:r>
      <w:r w:rsidRPr="00A7718A">
        <w:t>.</w:t>
      </w:r>
    </w:p>
    <w:p w:rsidR="009A64C5" w:rsidRDefault="009A64C5" w:rsidP="000C5BBB">
      <w:pPr>
        <w:spacing w:line="240" w:lineRule="auto"/>
      </w:pPr>
      <w:r w:rsidRPr="00A7718A">
        <w:t xml:space="preserve">These are exciting and challenging roles that will help shape the way that </w:t>
      </w:r>
      <w:r w:rsidR="005164D0">
        <w:t xml:space="preserve">these taxes and </w:t>
      </w:r>
      <w:r w:rsidRPr="00A7718A">
        <w:t xml:space="preserve">local public services are delivered in the future. The roles are likely to involve opportunities to work with Ministers and senior officials across Whitehall, local government, as well as a wide range of external strategic partners. They will provide any </w:t>
      </w:r>
      <w:proofErr w:type="spellStart"/>
      <w:r w:rsidRPr="00A7718A">
        <w:t>secondee</w:t>
      </w:r>
      <w:proofErr w:type="spellEnd"/>
      <w:r w:rsidRPr="00A7718A">
        <w:t xml:space="preserve"> with a good understanding of the inner workings of central government at an exciting and pivotal time.</w:t>
      </w:r>
      <w:r w:rsidR="00823B49">
        <w:t xml:space="preserve"> You will return to your host organisation more informed about government and with a greater understanding of political decision-making in Whitehall.</w:t>
      </w:r>
    </w:p>
    <w:p w:rsidR="000C5BBB" w:rsidRDefault="000C5BBB" w:rsidP="000C5BBB">
      <w:pPr>
        <w:spacing w:line="240" w:lineRule="auto"/>
      </w:pPr>
      <w:r>
        <w:t>Successful candidates will be ready to:</w:t>
      </w:r>
    </w:p>
    <w:p w:rsidR="000C5BBB" w:rsidRDefault="000C5BBB" w:rsidP="000C5BBB">
      <w:pPr>
        <w:pStyle w:val="ListParagraph"/>
        <w:numPr>
          <w:ilvl w:val="0"/>
          <w:numId w:val="2"/>
        </w:numPr>
        <w:spacing w:line="240" w:lineRule="auto"/>
      </w:pPr>
      <w:r w:rsidRPr="00A7718A">
        <w:t xml:space="preserve">lead the development </w:t>
      </w:r>
      <w:r>
        <w:t xml:space="preserve">of policy related to the local government finance </w:t>
      </w:r>
      <w:r w:rsidR="0020608F">
        <w:t xml:space="preserve">and taxation </w:t>
      </w:r>
      <w:r>
        <w:t>areas set out above, drawing on evidence to advise ministers effectively;</w:t>
      </w:r>
    </w:p>
    <w:p w:rsidR="000C5BBB" w:rsidRDefault="000C5BBB" w:rsidP="000C5BBB">
      <w:pPr>
        <w:spacing w:line="240" w:lineRule="auto"/>
      </w:pPr>
      <w:r>
        <w:t>AND/OR</w:t>
      </w:r>
    </w:p>
    <w:p w:rsidR="000C5BBB" w:rsidRDefault="000C5BBB" w:rsidP="000C5BBB">
      <w:pPr>
        <w:pStyle w:val="ListParagraph"/>
        <w:numPr>
          <w:ilvl w:val="0"/>
          <w:numId w:val="2"/>
        </w:numPr>
        <w:spacing w:line="240" w:lineRule="auto"/>
      </w:pPr>
      <w:r>
        <w:t xml:space="preserve">effectively deliver the accurate and robust systems </w:t>
      </w:r>
      <w:r w:rsidR="005164D0">
        <w:t xml:space="preserve">and processes, such as payments, </w:t>
      </w:r>
      <w:r>
        <w:t>grant management</w:t>
      </w:r>
      <w:r w:rsidR="005164D0">
        <w:t xml:space="preserve"> and tax systems</w:t>
      </w:r>
      <w:r>
        <w:t>, that sit within the local government finance system;</w:t>
      </w:r>
    </w:p>
    <w:p w:rsidR="000C5BBB" w:rsidRDefault="000C5BBB" w:rsidP="000C5BBB">
      <w:pPr>
        <w:spacing w:line="240" w:lineRule="auto"/>
      </w:pPr>
      <w:r>
        <w:t>AND</w:t>
      </w:r>
    </w:p>
    <w:p w:rsidR="000C5BBB" w:rsidRDefault="000C5BBB" w:rsidP="000C5BBB">
      <w:pPr>
        <w:pStyle w:val="ListParagraph"/>
        <w:numPr>
          <w:ilvl w:val="0"/>
          <w:numId w:val="2"/>
        </w:numPr>
        <w:spacing w:line="240" w:lineRule="auto"/>
      </w:pPr>
      <w:r>
        <w:t>build strong, collaborative relationships with internal and external stakeholders;</w:t>
      </w:r>
    </w:p>
    <w:p w:rsidR="000C5BBB" w:rsidRPr="00A7718A" w:rsidRDefault="000C5BBB" w:rsidP="000C5BBB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lastRenderedPageBreak/>
        <w:t>plan</w:t>
      </w:r>
      <w:proofErr w:type="gramEnd"/>
      <w:r>
        <w:t xml:space="preserve"> and manage their work autonomously, demonstrating leadership and people management skills commensurate with their grade.</w:t>
      </w:r>
    </w:p>
    <w:p w:rsidR="00F104DA" w:rsidRDefault="000C5BBB" w:rsidP="000C5BBB">
      <w:pPr>
        <w:spacing w:after="0" w:line="240" w:lineRule="auto"/>
      </w:pPr>
      <w:r w:rsidRPr="00A7718A">
        <w:t>We are looking for ca</w:t>
      </w:r>
      <w:r>
        <w:t xml:space="preserve">ndidates with varied skills </w:t>
      </w:r>
      <w:r w:rsidRPr="00A7718A">
        <w:t>who want to be involved in leading, developing and delivering local government policy.</w:t>
      </w:r>
      <w:r>
        <w:t xml:space="preserve"> Experience of working within local government finance in a local authority context</w:t>
      </w:r>
      <w:r w:rsidR="0020608F">
        <w:t xml:space="preserve">, </w:t>
      </w:r>
      <w:r w:rsidR="005164D0">
        <w:t>including specifically in</w:t>
      </w:r>
      <w:r w:rsidR="0020608F">
        <w:t xml:space="preserve"> revenues and benefit</w:t>
      </w:r>
      <w:r w:rsidR="005164D0">
        <w:t xml:space="preserve"> teams</w:t>
      </w:r>
      <w:r>
        <w:t>, and</w:t>
      </w:r>
      <w:r w:rsidR="0020608F">
        <w:t>/or</w:t>
      </w:r>
      <w:r>
        <w:t xml:space="preserve"> specific finance qualifications, are desirable but not essential. Individuals with local government experience, but currently working in a different context, are welcome to apply.</w:t>
      </w:r>
      <w:r w:rsidR="00F104DA">
        <w:t xml:space="preserve"> </w:t>
      </w:r>
    </w:p>
    <w:p w:rsidR="00F104DA" w:rsidRDefault="00F104DA" w:rsidP="000C5BBB">
      <w:pPr>
        <w:spacing w:after="0" w:line="240" w:lineRule="auto"/>
      </w:pPr>
    </w:p>
    <w:p w:rsidR="00F104DA" w:rsidRDefault="00F104DA" w:rsidP="000C5BBB">
      <w:pPr>
        <w:spacing w:after="0" w:line="240" w:lineRule="auto"/>
      </w:pPr>
      <w:r>
        <w:t>As the Directorate is wholly based at 2 Marsham Street in London, availability to work in London at least 2 days a week will be necessary and it will not be possible for the Department to pay travel expenses for those based elsewhere. Home working, flexible working</w:t>
      </w:r>
      <w:r w:rsidR="003C6765">
        <w:t>, part-time</w:t>
      </w:r>
      <w:r>
        <w:t xml:space="preserve"> and job shares are all supported.</w:t>
      </w:r>
      <w:r w:rsidR="003C6765">
        <w:t xml:space="preserve"> </w:t>
      </w:r>
      <w:r>
        <w:t>Successful applicants would jo</w:t>
      </w:r>
      <w:r w:rsidR="003C6765">
        <w:t>in the Department on secondment for a fixed period of between 6 months and a maximum of two years.</w:t>
      </w:r>
    </w:p>
    <w:p w:rsidR="000C5BBB" w:rsidRDefault="000C5BBB" w:rsidP="000C5BBB">
      <w:pPr>
        <w:spacing w:after="0" w:line="240" w:lineRule="auto"/>
      </w:pPr>
    </w:p>
    <w:p w:rsidR="00F27C0E" w:rsidRDefault="00F27C0E" w:rsidP="000C5BBB">
      <w:pPr>
        <w:spacing w:line="240" w:lineRule="auto"/>
      </w:pPr>
      <w:r>
        <w:t>If you are interested in applying, please s</w:t>
      </w:r>
      <w:r w:rsidR="00823B49">
        <w:t xml:space="preserve">end a CV and covering letter to </w:t>
      </w:r>
      <w:hyperlink r:id="rId9" w:history="1">
        <w:r w:rsidR="00823B49" w:rsidRPr="006C2E0B">
          <w:rPr>
            <w:rStyle w:val="Hyperlink"/>
          </w:rPr>
          <w:t>LGFsecondments@communities.gsi.gov.uk</w:t>
        </w:r>
      </w:hyperlink>
      <w:r w:rsidR="00823B49">
        <w:t xml:space="preserve"> </w:t>
      </w:r>
      <w:r>
        <w:t>by 14 September 2018.</w:t>
      </w:r>
      <w:r w:rsidR="00777CAC">
        <w:t xml:space="preserve"> </w:t>
      </w:r>
      <w:r w:rsidR="0079537E">
        <w:t>Applications will be considered from the point at which this advert is sent out, and applicants may be</w:t>
      </w:r>
      <w:r w:rsidR="00777CAC">
        <w:t xml:space="preserve"> invited for an informal interview with a senior manager in the Directorate</w:t>
      </w:r>
      <w:r w:rsidR="0079537E">
        <w:t xml:space="preserve"> before being offered a role</w:t>
      </w:r>
      <w:r w:rsidR="00777CAC">
        <w:t>.</w:t>
      </w:r>
      <w:r w:rsidR="0079537E">
        <w:t xml:space="preserve"> Roles will be offered on a rolling basis as applications are received, so y</w:t>
      </w:r>
      <w:r>
        <w:t>ou are encouraged to submit yo</w:t>
      </w:r>
      <w:r w:rsidR="0079537E">
        <w:t>ur expression of interest early.</w:t>
      </w:r>
    </w:p>
    <w:p w:rsidR="00F27C0E" w:rsidRDefault="00F27C0E" w:rsidP="000C5BBB">
      <w:pPr>
        <w:spacing w:line="240" w:lineRule="auto"/>
      </w:pPr>
      <w:r>
        <w:t>Your covering letter should be no longer than 2 A4 pages and include:</w:t>
      </w:r>
    </w:p>
    <w:p w:rsidR="00F104DA" w:rsidRDefault="00F104DA" w:rsidP="00F104DA">
      <w:pPr>
        <w:pStyle w:val="ListParagraph"/>
        <w:numPr>
          <w:ilvl w:val="0"/>
          <w:numId w:val="1"/>
        </w:numPr>
        <w:spacing w:line="240" w:lineRule="auto"/>
      </w:pPr>
      <w:r>
        <w:t>Why you are interested in a secondment to work at MHCLG;</w:t>
      </w:r>
    </w:p>
    <w:p w:rsidR="00F27C0E" w:rsidRDefault="00F27C0E" w:rsidP="000C5BBB">
      <w:pPr>
        <w:pStyle w:val="ListParagraph"/>
        <w:numPr>
          <w:ilvl w:val="0"/>
          <w:numId w:val="1"/>
        </w:numPr>
        <w:spacing w:line="240" w:lineRule="auto"/>
      </w:pPr>
      <w:r>
        <w:t xml:space="preserve">A short summary of your skills and experience and why they would make you suitable </w:t>
      </w:r>
      <w:r w:rsidR="00F104DA">
        <w:t>for</w:t>
      </w:r>
      <w:r>
        <w:t xml:space="preserve"> a role working in MHCLG;</w:t>
      </w:r>
    </w:p>
    <w:p w:rsidR="00F27C0E" w:rsidRDefault="00F27C0E" w:rsidP="000C5BBB">
      <w:pPr>
        <w:pStyle w:val="ListParagraph"/>
        <w:numPr>
          <w:ilvl w:val="0"/>
          <w:numId w:val="1"/>
        </w:numPr>
        <w:spacing w:line="240" w:lineRule="auto"/>
      </w:pPr>
      <w:r>
        <w:t>When you wou</w:t>
      </w:r>
      <w:bookmarkStart w:id="0" w:name="_GoBack"/>
      <w:bookmarkEnd w:id="0"/>
      <w:r>
        <w:t>ld be available to start and how long you would be interested in a secondment for (roles between 6 months and 2 years are available);</w:t>
      </w:r>
    </w:p>
    <w:p w:rsidR="00F27C0E" w:rsidRDefault="00F27C0E" w:rsidP="000C5BBB">
      <w:pPr>
        <w:pStyle w:val="ListParagraph"/>
        <w:numPr>
          <w:ilvl w:val="0"/>
          <w:numId w:val="1"/>
        </w:numPr>
        <w:spacing w:line="240" w:lineRule="auto"/>
      </w:pPr>
      <w:r>
        <w:t>What civil service grade you would expect to join the Department at, based on your skills and experience (information on MH</w:t>
      </w:r>
      <w:r w:rsidR="003C6765">
        <w:t>CLG pay grades is set out below</w:t>
      </w:r>
      <w:r w:rsidR="00F104DA">
        <w:t>)</w:t>
      </w:r>
      <w:r>
        <w:t>.</w:t>
      </w:r>
    </w:p>
    <w:p w:rsidR="003C6765" w:rsidRDefault="003C6765" w:rsidP="003C6765">
      <w:pPr>
        <w:spacing w:line="240" w:lineRule="auto"/>
      </w:pPr>
    </w:p>
    <w:p w:rsidR="003C6765" w:rsidRDefault="003C6765">
      <w:pPr>
        <w:rPr>
          <w:b/>
        </w:rPr>
      </w:pPr>
      <w:r>
        <w:rPr>
          <w:b/>
        </w:rPr>
        <w:br w:type="page"/>
      </w:r>
    </w:p>
    <w:p w:rsidR="003C6765" w:rsidRDefault="003C6765" w:rsidP="003C6765">
      <w:pPr>
        <w:spacing w:line="240" w:lineRule="auto"/>
        <w:rPr>
          <w:b/>
        </w:rPr>
      </w:pPr>
      <w:r>
        <w:rPr>
          <w:b/>
        </w:rPr>
        <w:lastRenderedPageBreak/>
        <w:t>Annex: MHCLG Pay Bands</w:t>
      </w:r>
    </w:p>
    <w:p w:rsidR="003C6765" w:rsidRPr="003C6765" w:rsidRDefault="003C6765" w:rsidP="003C6765">
      <w:pPr>
        <w:spacing w:after="0" w:line="240" w:lineRule="auto"/>
        <w:rPr>
          <w:b/>
          <w:sz w:val="20"/>
          <w:szCs w:val="20"/>
        </w:rPr>
      </w:pPr>
    </w:p>
    <w:p w:rsidR="003C6765" w:rsidRDefault="003C6765" w:rsidP="003C6765">
      <w:pPr>
        <w:shd w:val="clear" w:color="auto" w:fill="FFFFFF"/>
        <w:spacing w:after="0" w:line="240" w:lineRule="auto"/>
        <w:outlineLvl w:val="0"/>
        <w:rPr>
          <w:rFonts w:eastAsia="Times New Roman"/>
          <w:color w:val="333333"/>
          <w:sz w:val="20"/>
          <w:szCs w:val="20"/>
          <w:lang w:eastAsia="en-GB"/>
        </w:rPr>
      </w:pPr>
      <w:r w:rsidRPr="003C6765">
        <w:rPr>
          <w:rFonts w:eastAsia="Times New Roman"/>
          <w:b/>
          <w:bCs/>
          <w:color w:val="0B0C0C"/>
          <w:kern w:val="36"/>
          <w:sz w:val="20"/>
          <w:szCs w:val="20"/>
          <w:lang w:eastAsia="en-GB"/>
        </w:rPr>
        <w:t>London</w:t>
      </w:r>
      <w:r>
        <w:rPr>
          <w:rFonts w:eastAsia="Times New Roman"/>
          <w:b/>
          <w:bCs/>
          <w:color w:val="0B0C0C"/>
          <w:kern w:val="36"/>
          <w:sz w:val="20"/>
          <w:szCs w:val="20"/>
          <w:lang w:eastAsia="en-GB"/>
        </w:rPr>
        <w:t xml:space="preserve"> </w:t>
      </w:r>
      <w:r>
        <w:rPr>
          <w:rFonts w:eastAsia="Times New Roman"/>
          <w:bCs/>
          <w:color w:val="0B0C0C"/>
          <w:kern w:val="36"/>
          <w:sz w:val="20"/>
          <w:szCs w:val="20"/>
          <w:lang w:eastAsia="en-GB"/>
        </w:rPr>
        <w:t>(</w:t>
      </w:r>
      <w:r w:rsidRPr="003C6765">
        <w:rPr>
          <w:rFonts w:eastAsia="Times New Roman"/>
          <w:color w:val="333333"/>
          <w:sz w:val="20"/>
          <w:szCs w:val="20"/>
          <w:lang w:eastAsia="en-GB"/>
        </w:rPr>
        <w:t>Rates effective 1 August 2017</w:t>
      </w:r>
      <w:r>
        <w:rPr>
          <w:rFonts w:eastAsia="Times New Roman"/>
          <w:color w:val="333333"/>
          <w:sz w:val="20"/>
          <w:szCs w:val="20"/>
          <w:lang w:eastAsia="en-GB"/>
        </w:rPr>
        <w:t>)</w:t>
      </w:r>
    </w:p>
    <w:p w:rsidR="003C6765" w:rsidRPr="003C6765" w:rsidRDefault="003C6765" w:rsidP="003C676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B0C0C"/>
          <w:kern w:val="36"/>
          <w:sz w:val="20"/>
          <w:szCs w:val="20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067"/>
        <w:gridCol w:w="4557"/>
        <w:gridCol w:w="2641"/>
      </w:tblGrid>
      <w:tr w:rsidR="003C6765" w:rsidRPr="003C6765" w:rsidTr="003C6765">
        <w:trPr>
          <w:tblHeader/>
        </w:trPr>
        <w:tc>
          <w:tcPr>
            <w:tcW w:w="7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  <w:t>Pay Band</w:t>
            </w:r>
          </w:p>
        </w:tc>
        <w:tc>
          <w:tcPr>
            <w:tcW w:w="4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26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  <w:t>Scale</w:t>
            </w:r>
          </w:p>
        </w:tc>
      </w:tr>
      <w:tr w:rsidR="003C6765" w:rsidRPr="003C6765" w:rsidTr="003C6765">
        <w:tc>
          <w:tcPr>
            <w:tcW w:w="76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AO</w:t>
            </w:r>
          </w:p>
        </w:tc>
        <w:tc>
          <w:tcPr>
            <w:tcW w:w="106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PB2.1</w:t>
            </w:r>
          </w:p>
        </w:tc>
        <w:tc>
          <w:tcPr>
            <w:tcW w:w="455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AO London</w:t>
            </w:r>
          </w:p>
        </w:tc>
        <w:tc>
          <w:tcPr>
            <w:tcW w:w="264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 xml:space="preserve">£25,322 (New entrants) </w:t>
            </w:r>
          </w:p>
        </w:tc>
      </w:tr>
      <w:tr w:rsidR="003C6765" w:rsidRPr="003C6765" w:rsidTr="003C6765">
        <w:tc>
          <w:tcPr>
            <w:tcW w:w="76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EO</w:t>
            </w:r>
          </w:p>
        </w:tc>
        <w:tc>
          <w:tcPr>
            <w:tcW w:w="106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PB3.2</w:t>
            </w:r>
          </w:p>
        </w:tc>
        <w:tc>
          <w:tcPr>
            <w:tcW w:w="455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EO London</w:t>
            </w:r>
          </w:p>
        </w:tc>
        <w:tc>
          <w:tcPr>
            <w:tcW w:w="264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£26,808 - £30,911</w:t>
            </w:r>
          </w:p>
        </w:tc>
      </w:tr>
      <w:tr w:rsidR="003C6765" w:rsidRPr="003C6765" w:rsidTr="003C6765">
        <w:tc>
          <w:tcPr>
            <w:tcW w:w="76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PB3.4</w:t>
            </w:r>
          </w:p>
        </w:tc>
        <w:tc>
          <w:tcPr>
            <w:tcW w:w="455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EO Accountant London</w:t>
            </w:r>
          </w:p>
        </w:tc>
        <w:tc>
          <w:tcPr>
            <w:tcW w:w="264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£29,764 - £32,001</w:t>
            </w:r>
          </w:p>
        </w:tc>
      </w:tr>
      <w:tr w:rsidR="003C6765" w:rsidRPr="003C6765" w:rsidTr="003C6765">
        <w:tc>
          <w:tcPr>
            <w:tcW w:w="76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HEO</w:t>
            </w:r>
          </w:p>
        </w:tc>
        <w:tc>
          <w:tcPr>
            <w:tcW w:w="106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PB4.3</w:t>
            </w:r>
          </w:p>
        </w:tc>
        <w:tc>
          <w:tcPr>
            <w:tcW w:w="455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HEO London</w:t>
            </w:r>
          </w:p>
        </w:tc>
        <w:tc>
          <w:tcPr>
            <w:tcW w:w="264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£31,963 - £36,400</w:t>
            </w:r>
          </w:p>
        </w:tc>
      </w:tr>
      <w:tr w:rsidR="003C6765" w:rsidRPr="003C6765" w:rsidTr="003C6765">
        <w:tc>
          <w:tcPr>
            <w:tcW w:w="76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PB4.6</w:t>
            </w:r>
          </w:p>
        </w:tc>
        <w:tc>
          <w:tcPr>
            <w:tcW w:w="455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HEO Accountant London</w:t>
            </w:r>
          </w:p>
        </w:tc>
        <w:tc>
          <w:tcPr>
            <w:tcW w:w="264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£35,136 - £40,015</w:t>
            </w:r>
          </w:p>
        </w:tc>
      </w:tr>
      <w:tr w:rsidR="003C6765" w:rsidRPr="003C6765" w:rsidTr="003C6765">
        <w:tc>
          <w:tcPr>
            <w:tcW w:w="76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SEO</w:t>
            </w:r>
          </w:p>
        </w:tc>
        <w:tc>
          <w:tcPr>
            <w:tcW w:w="106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PB5.1</w:t>
            </w:r>
          </w:p>
        </w:tc>
        <w:tc>
          <w:tcPr>
            <w:tcW w:w="455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SEO London</w:t>
            </w:r>
          </w:p>
        </w:tc>
        <w:tc>
          <w:tcPr>
            <w:tcW w:w="264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£37,634 - £43,829</w:t>
            </w:r>
          </w:p>
        </w:tc>
      </w:tr>
      <w:tr w:rsidR="003C6765" w:rsidRPr="003C6765" w:rsidTr="003C6765">
        <w:tc>
          <w:tcPr>
            <w:tcW w:w="76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PB5.8</w:t>
            </w:r>
          </w:p>
        </w:tc>
        <w:tc>
          <w:tcPr>
            <w:tcW w:w="455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823B49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 xml:space="preserve">SEO </w:t>
            </w:r>
            <w:r w:rsidR="00823B49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Accountant London</w:t>
            </w:r>
          </w:p>
        </w:tc>
        <w:tc>
          <w:tcPr>
            <w:tcW w:w="264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£40,848 - £47,563</w:t>
            </w:r>
          </w:p>
        </w:tc>
      </w:tr>
      <w:tr w:rsidR="003C6765" w:rsidRPr="003C6765" w:rsidTr="003C6765">
        <w:tc>
          <w:tcPr>
            <w:tcW w:w="76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G7</w:t>
            </w:r>
          </w:p>
        </w:tc>
        <w:tc>
          <w:tcPr>
            <w:tcW w:w="106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PB6.1</w:t>
            </w:r>
          </w:p>
        </w:tc>
        <w:tc>
          <w:tcPr>
            <w:tcW w:w="455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Grade 7 London</w:t>
            </w:r>
          </w:p>
        </w:tc>
        <w:tc>
          <w:tcPr>
            <w:tcW w:w="264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£50,006 - £59,377</w:t>
            </w:r>
          </w:p>
        </w:tc>
      </w:tr>
      <w:tr w:rsidR="003C6765" w:rsidRPr="003C6765" w:rsidTr="003C6765">
        <w:tc>
          <w:tcPr>
            <w:tcW w:w="76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G6</w:t>
            </w:r>
          </w:p>
        </w:tc>
        <w:tc>
          <w:tcPr>
            <w:tcW w:w="106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PB7.1</w:t>
            </w:r>
          </w:p>
        </w:tc>
        <w:tc>
          <w:tcPr>
            <w:tcW w:w="455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Grade 6 London</w:t>
            </w:r>
          </w:p>
        </w:tc>
        <w:tc>
          <w:tcPr>
            <w:tcW w:w="2641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£60,316 - £71,058</w:t>
            </w:r>
          </w:p>
        </w:tc>
      </w:tr>
    </w:tbl>
    <w:p w:rsidR="003C6765" w:rsidRDefault="003C6765" w:rsidP="003C676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B0C0C"/>
          <w:kern w:val="36"/>
          <w:sz w:val="20"/>
          <w:szCs w:val="20"/>
          <w:lang w:eastAsia="en-GB"/>
        </w:rPr>
      </w:pPr>
    </w:p>
    <w:p w:rsidR="003C6765" w:rsidRDefault="003C6765" w:rsidP="003C6765">
      <w:pPr>
        <w:shd w:val="clear" w:color="auto" w:fill="FFFFFF"/>
        <w:spacing w:after="0" w:line="240" w:lineRule="auto"/>
        <w:outlineLvl w:val="0"/>
        <w:rPr>
          <w:rFonts w:eastAsia="Times New Roman"/>
          <w:color w:val="333333"/>
          <w:sz w:val="20"/>
          <w:szCs w:val="20"/>
          <w:lang w:eastAsia="en-GB"/>
        </w:rPr>
      </w:pPr>
      <w:r w:rsidRPr="003C6765">
        <w:rPr>
          <w:rFonts w:eastAsia="Times New Roman"/>
          <w:b/>
          <w:bCs/>
          <w:color w:val="0B0C0C"/>
          <w:kern w:val="36"/>
          <w:sz w:val="20"/>
          <w:szCs w:val="20"/>
          <w:lang w:eastAsia="en-GB"/>
        </w:rPr>
        <w:t>National</w:t>
      </w:r>
      <w:r>
        <w:rPr>
          <w:rFonts w:eastAsia="Times New Roman"/>
          <w:b/>
          <w:bCs/>
          <w:color w:val="0B0C0C"/>
          <w:kern w:val="36"/>
          <w:sz w:val="20"/>
          <w:szCs w:val="20"/>
          <w:lang w:eastAsia="en-GB"/>
        </w:rPr>
        <w:t xml:space="preserve"> </w:t>
      </w:r>
      <w:r>
        <w:rPr>
          <w:rFonts w:eastAsia="Times New Roman"/>
          <w:bCs/>
          <w:color w:val="0B0C0C"/>
          <w:kern w:val="36"/>
          <w:sz w:val="20"/>
          <w:szCs w:val="20"/>
          <w:lang w:eastAsia="en-GB"/>
        </w:rPr>
        <w:t>(</w:t>
      </w:r>
      <w:r w:rsidRPr="003C6765">
        <w:rPr>
          <w:rFonts w:eastAsia="Times New Roman"/>
          <w:color w:val="333333"/>
          <w:sz w:val="20"/>
          <w:szCs w:val="20"/>
          <w:lang w:eastAsia="en-GB"/>
        </w:rPr>
        <w:t>Rates effective 1 August 2017</w:t>
      </w:r>
      <w:r>
        <w:rPr>
          <w:rFonts w:eastAsia="Times New Roman"/>
          <w:color w:val="333333"/>
          <w:sz w:val="20"/>
          <w:szCs w:val="20"/>
          <w:lang w:eastAsia="en-GB"/>
        </w:rPr>
        <w:t>)</w:t>
      </w:r>
    </w:p>
    <w:p w:rsidR="003C6765" w:rsidRPr="003C6765" w:rsidRDefault="003C6765" w:rsidP="003C676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B0C0C"/>
          <w:kern w:val="36"/>
          <w:sz w:val="20"/>
          <w:szCs w:val="20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4536"/>
        <w:gridCol w:w="2647"/>
      </w:tblGrid>
      <w:tr w:rsidR="003C6765" w:rsidRPr="003C6765" w:rsidTr="003C6765">
        <w:trPr>
          <w:tblHeader/>
        </w:trPr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  <w:t>Pay Band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2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GB"/>
              </w:rPr>
              <w:t>Scale</w:t>
            </w:r>
          </w:p>
        </w:tc>
      </w:tr>
      <w:tr w:rsidR="003C6765" w:rsidRPr="003C6765" w:rsidTr="003C6765">
        <w:tc>
          <w:tcPr>
            <w:tcW w:w="709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AO</w:t>
            </w:r>
          </w:p>
        </w:tc>
        <w:tc>
          <w:tcPr>
            <w:tcW w:w="1134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PB2.0</w:t>
            </w:r>
          </w:p>
        </w:tc>
        <w:tc>
          <w:tcPr>
            <w:tcW w:w="4536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AO National</w:t>
            </w:r>
          </w:p>
        </w:tc>
        <w:tc>
          <w:tcPr>
            <w:tcW w:w="264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£21,741 (New entrants)</w:t>
            </w:r>
          </w:p>
        </w:tc>
      </w:tr>
      <w:tr w:rsidR="003C6765" w:rsidRPr="003C6765" w:rsidTr="003C6765">
        <w:tc>
          <w:tcPr>
            <w:tcW w:w="709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EO</w:t>
            </w:r>
          </w:p>
        </w:tc>
        <w:tc>
          <w:tcPr>
            <w:tcW w:w="1134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PB3.0</w:t>
            </w:r>
          </w:p>
        </w:tc>
        <w:tc>
          <w:tcPr>
            <w:tcW w:w="4536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EO National</w:t>
            </w:r>
          </w:p>
        </w:tc>
        <w:tc>
          <w:tcPr>
            <w:tcW w:w="264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£23,895 - £27,604</w:t>
            </w:r>
          </w:p>
        </w:tc>
      </w:tr>
      <w:tr w:rsidR="003C6765" w:rsidRPr="003C6765" w:rsidTr="003C6765">
        <w:tc>
          <w:tcPr>
            <w:tcW w:w="709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HEO</w:t>
            </w:r>
          </w:p>
        </w:tc>
        <w:tc>
          <w:tcPr>
            <w:tcW w:w="1134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PB4.0</w:t>
            </w:r>
          </w:p>
        </w:tc>
        <w:tc>
          <w:tcPr>
            <w:tcW w:w="4536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HEO National</w:t>
            </w:r>
          </w:p>
        </w:tc>
        <w:tc>
          <w:tcPr>
            <w:tcW w:w="264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£29,055 - £33,098</w:t>
            </w:r>
          </w:p>
        </w:tc>
      </w:tr>
      <w:tr w:rsidR="003C6765" w:rsidRPr="003C6765" w:rsidTr="003C6765">
        <w:tc>
          <w:tcPr>
            <w:tcW w:w="709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PB4.4</w:t>
            </w:r>
          </w:p>
        </w:tc>
        <w:tc>
          <w:tcPr>
            <w:tcW w:w="4536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HEO Accountant National</w:t>
            </w:r>
          </w:p>
        </w:tc>
        <w:tc>
          <w:tcPr>
            <w:tcW w:w="264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£31,752 - £36,167</w:t>
            </w:r>
          </w:p>
        </w:tc>
      </w:tr>
      <w:tr w:rsidR="003C6765" w:rsidRPr="003C6765" w:rsidTr="003C6765">
        <w:tc>
          <w:tcPr>
            <w:tcW w:w="709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SEO</w:t>
            </w:r>
          </w:p>
        </w:tc>
        <w:tc>
          <w:tcPr>
            <w:tcW w:w="1134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PB5.0</w:t>
            </w:r>
          </w:p>
        </w:tc>
        <w:tc>
          <w:tcPr>
            <w:tcW w:w="4536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SEO National</w:t>
            </w:r>
          </w:p>
        </w:tc>
        <w:tc>
          <w:tcPr>
            <w:tcW w:w="264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£34,973 - £40,771</w:t>
            </w:r>
          </w:p>
        </w:tc>
      </w:tr>
      <w:tr w:rsidR="003C6765" w:rsidRPr="003C6765" w:rsidTr="003C6765">
        <w:tc>
          <w:tcPr>
            <w:tcW w:w="709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PB5.4</w:t>
            </w:r>
          </w:p>
        </w:tc>
        <w:tc>
          <w:tcPr>
            <w:tcW w:w="4536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SEO Accountant National</w:t>
            </w:r>
          </w:p>
        </w:tc>
        <w:tc>
          <w:tcPr>
            <w:tcW w:w="264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£37,634 - £43,829</w:t>
            </w:r>
          </w:p>
        </w:tc>
      </w:tr>
      <w:tr w:rsidR="003C6765" w:rsidRPr="003C6765" w:rsidTr="003C6765">
        <w:tc>
          <w:tcPr>
            <w:tcW w:w="709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G7</w:t>
            </w:r>
          </w:p>
        </w:tc>
        <w:tc>
          <w:tcPr>
            <w:tcW w:w="1134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PB6.0</w:t>
            </w:r>
          </w:p>
        </w:tc>
        <w:tc>
          <w:tcPr>
            <w:tcW w:w="4536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Grade 7 National</w:t>
            </w:r>
          </w:p>
        </w:tc>
        <w:tc>
          <w:tcPr>
            <w:tcW w:w="264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£45,938 - £54,517</w:t>
            </w:r>
          </w:p>
        </w:tc>
      </w:tr>
      <w:tr w:rsidR="003C6765" w:rsidRPr="003C6765" w:rsidTr="003C6765">
        <w:tc>
          <w:tcPr>
            <w:tcW w:w="709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G6</w:t>
            </w:r>
          </w:p>
        </w:tc>
        <w:tc>
          <w:tcPr>
            <w:tcW w:w="1134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PB7.0</w:t>
            </w:r>
          </w:p>
        </w:tc>
        <w:tc>
          <w:tcPr>
            <w:tcW w:w="4536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Grade 6 National</w:t>
            </w:r>
          </w:p>
        </w:tc>
        <w:tc>
          <w:tcPr>
            <w:tcW w:w="2647" w:type="dxa"/>
            <w:tcBorders>
              <w:top w:val="single" w:sz="6" w:space="0" w:color="61415B"/>
              <w:left w:val="single" w:sz="6" w:space="0" w:color="61415B"/>
              <w:bottom w:val="single" w:sz="6" w:space="0" w:color="61415B"/>
              <w:right w:val="single" w:sz="6" w:space="0" w:color="61415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765" w:rsidRPr="003C6765" w:rsidRDefault="003C6765" w:rsidP="003C6765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3C6765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£55,290 - £65,064</w:t>
            </w:r>
          </w:p>
        </w:tc>
      </w:tr>
    </w:tbl>
    <w:p w:rsidR="003C6765" w:rsidRPr="003C6765" w:rsidRDefault="003C6765" w:rsidP="003C6765">
      <w:pPr>
        <w:spacing w:after="0" w:line="240" w:lineRule="auto"/>
        <w:rPr>
          <w:b/>
          <w:sz w:val="20"/>
          <w:szCs w:val="20"/>
        </w:rPr>
      </w:pPr>
    </w:p>
    <w:p w:rsidR="009A64C5" w:rsidRPr="003C6765" w:rsidRDefault="009A64C5" w:rsidP="003C6765">
      <w:pPr>
        <w:spacing w:after="0" w:line="240" w:lineRule="auto"/>
        <w:rPr>
          <w:sz w:val="20"/>
          <w:szCs w:val="20"/>
        </w:rPr>
      </w:pPr>
    </w:p>
    <w:sectPr w:rsidR="009A64C5" w:rsidRPr="003C6765" w:rsidSect="00777C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9D" w:rsidRDefault="00C5259D" w:rsidP="00056850">
      <w:pPr>
        <w:spacing w:after="0" w:line="240" w:lineRule="auto"/>
      </w:pPr>
      <w:r>
        <w:separator/>
      </w:r>
    </w:p>
  </w:endnote>
  <w:endnote w:type="continuationSeparator" w:id="0">
    <w:p w:rsidR="00C5259D" w:rsidRDefault="00C5259D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9D" w:rsidRDefault="00C5259D" w:rsidP="00056850">
      <w:pPr>
        <w:spacing w:after="0" w:line="240" w:lineRule="auto"/>
      </w:pPr>
      <w:r>
        <w:separator/>
      </w:r>
    </w:p>
  </w:footnote>
  <w:footnote w:type="continuationSeparator" w:id="0">
    <w:p w:rsidR="00C5259D" w:rsidRDefault="00C5259D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777CAC">
    <w:pPr>
      <w:pStyle w:val="Header"/>
    </w:pPr>
    <w:r>
      <w:rPr>
        <w:rFonts w:eastAsia="Arial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163B5C81" wp14:editId="7E587011">
          <wp:simplePos x="0" y="0"/>
          <wp:positionH relativeFrom="column">
            <wp:posOffset>152400</wp:posOffset>
          </wp:positionH>
          <wp:positionV relativeFrom="paragraph">
            <wp:posOffset>-133350</wp:posOffset>
          </wp:positionV>
          <wp:extent cx="1247140" cy="646430"/>
          <wp:effectExtent l="0" t="0" r="0" b="1270"/>
          <wp:wrapSquare wrapText="bothSides"/>
          <wp:docPr id="3" name="Picture 3" descr="P:\Documents\My Pictures\MHCL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cuments\My Pictures\MHCLG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708F"/>
    <w:multiLevelType w:val="hybridMultilevel"/>
    <w:tmpl w:val="BCF2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A35D0"/>
    <w:multiLevelType w:val="hybridMultilevel"/>
    <w:tmpl w:val="525C2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C5"/>
    <w:rsid w:val="00056850"/>
    <w:rsid w:val="000C5BBB"/>
    <w:rsid w:val="0020608F"/>
    <w:rsid w:val="002F434D"/>
    <w:rsid w:val="003C6765"/>
    <w:rsid w:val="00453925"/>
    <w:rsid w:val="005164D0"/>
    <w:rsid w:val="00777CAC"/>
    <w:rsid w:val="0079537E"/>
    <w:rsid w:val="00823B49"/>
    <w:rsid w:val="00914946"/>
    <w:rsid w:val="009A64C5"/>
    <w:rsid w:val="00AA7E16"/>
    <w:rsid w:val="00C14C7D"/>
    <w:rsid w:val="00C5259D"/>
    <w:rsid w:val="00DC1613"/>
    <w:rsid w:val="00F104DA"/>
    <w:rsid w:val="00F27C0E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6765"/>
    <w:pPr>
      <w:spacing w:before="300" w:after="240" w:line="288" w:lineRule="auto"/>
      <w:outlineLvl w:val="0"/>
    </w:pPr>
    <w:rPr>
      <w:rFonts w:ascii="Helvetica" w:eastAsia="Times New Roman" w:hAnsi="Helvetica" w:cs="Helvetica"/>
      <w:b/>
      <w:bCs/>
      <w:color w:val="0B0C0C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F27C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6765"/>
    <w:rPr>
      <w:rFonts w:ascii="Helvetica" w:eastAsia="Times New Roman" w:hAnsi="Helvetica" w:cs="Helvetica"/>
      <w:b/>
      <w:bCs/>
      <w:color w:val="0B0C0C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23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6765"/>
    <w:pPr>
      <w:spacing w:before="300" w:after="240" w:line="288" w:lineRule="auto"/>
      <w:outlineLvl w:val="0"/>
    </w:pPr>
    <w:rPr>
      <w:rFonts w:ascii="Helvetica" w:eastAsia="Times New Roman" w:hAnsi="Helvetica" w:cs="Helvetica"/>
      <w:b/>
      <w:bCs/>
      <w:color w:val="0B0C0C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F27C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6765"/>
    <w:rPr>
      <w:rFonts w:ascii="Helvetica" w:eastAsia="Times New Roman" w:hAnsi="Helvetica" w:cs="Helvetica"/>
      <w:b/>
      <w:bCs/>
      <w:color w:val="0B0C0C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23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3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Fsecondments@communities.gsi.gov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DC8D8278-DBCB-414C-8B98-CA488631A5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Broadfield</dc:creator>
  <cp:lastModifiedBy>Sophie Broadfield</cp:lastModifiedBy>
  <cp:revision>6</cp:revision>
  <dcterms:created xsi:type="dcterms:W3CDTF">2018-07-04T08:18:00Z</dcterms:created>
  <dcterms:modified xsi:type="dcterms:W3CDTF">2018-07-05T10:32:00Z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5b766a5f-bd0a-4d29-be53-6dcf3064676e</vt:lpwstr>
  </property>
  <property fmtid="{D5CDD505-2E9C-101B-9397-08002B2CF9AE}" pid="3" name="bjSaver">
    <vt:lpwstr>klul16aWmAsHgjlYkNaN4jACn6t4AglX</vt:lpwstr>
  </property>
  <property fmtid="{D5CDD505-2E9C-101B-9397-08002B2CF9AE}" pid="4" name="bjDocumentSecurityLabel">
    <vt:lpwstr>No Marking</vt:lpwstr>
  </property>
</Properties>
</file>