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B74" w:rsidRPr="00750251" w:rsidRDefault="00E95B74">
      <w:pPr>
        <w:rPr>
          <w:rFonts w:ascii="Verdana" w:hAnsi="Verdana"/>
          <w:sz w:val="18"/>
          <w:szCs w:val="18"/>
        </w:rPr>
      </w:pPr>
    </w:p>
    <w:p w:rsidR="00E95B74" w:rsidRPr="00750251" w:rsidRDefault="00E95B74" w:rsidP="002E4BA0">
      <w:pPr>
        <w:pStyle w:val="Header"/>
        <w:ind w:left="-1276"/>
        <w:outlineLvl w:val="0"/>
        <w:rPr>
          <w:rFonts w:ascii="Verdana" w:hAnsi="Verdana"/>
          <w:b/>
          <w:color w:val="000000"/>
          <w:sz w:val="28"/>
          <w:szCs w:val="28"/>
        </w:rPr>
      </w:pPr>
      <w:r w:rsidRPr="00750251">
        <w:rPr>
          <w:rFonts w:ascii="Verdana" w:hAnsi="Verdana"/>
          <w:b/>
          <w:color w:val="000000"/>
          <w:sz w:val="28"/>
          <w:szCs w:val="28"/>
        </w:rPr>
        <w:t xml:space="preserve">Local </w:t>
      </w:r>
      <w:r w:rsidR="000C6536" w:rsidRPr="00750251">
        <w:rPr>
          <w:rFonts w:ascii="Verdana" w:hAnsi="Verdana"/>
          <w:b/>
          <w:color w:val="000000"/>
          <w:sz w:val="28"/>
          <w:szCs w:val="28"/>
        </w:rPr>
        <w:t xml:space="preserve">Government </w:t>
      </w:r>
      <w:r w:rsidRPr="00750251">
        <w:rPr>
          <w:rFonts w:ascii="Verdana" w:hAnsi="Verdana"/>
          <w:b/>
          <w:color w:val="000000"/>
          <w:sz w:val="28"/>
          <w:szCs w:val="28"/>
        </w:rPr>
        <w:t>Accounting</w:t>
      </w:r>
      <w:r w:rsidR="000C6536" w:rsidRPr="00750251">
        <w:rPr>
          <w:rFonts w:ascii="Verdana" w:hAnsi="Verdana"/>
          <w:b/>
          <w:color w:val="000000"/>
          <w:sz w:val="28"/>
          <w:szCs w:val="28"/>
        </w:rPr>
        <w:t xml:space="preserve"> Conference</w:t>
      </w:r>
      <w:r w:rsidR="00CF159B">
        <w:rPr>
          <w:rFonts w:ascii="Verdana" w:hAnsi="Verdana"/>
          <w:b/>
          <w:color w:val="000000"/>
          <w:sz w:val="28"/>
          <w:szCs w:val="28"/>
        </w:rPr>
        <w:t>s</w:t>
      </w:r>
    </w:p>
    <w:p w:rsidR="00061D8A" w:rsidRDefault="00E95B74" w:rsidP="00E95B74">
      <w:pPr>
        <w:pStyle w:val="Header"/>
        <w:ind w:left="-1276"/>
        <w:outlineLvl w:val="0"/>
        <w:rPr>
          <w:rFonts w:ascii="Verdana" w:hAnsi="Verdana"/>
          <w:b/>
          <w:sz w:val="28"/>
          <w:szCs w:val="28"/>
        </w:rPr>
      </w:pPr>
      <w:r w:rsidRPr="00750251">
        <w:rPr>
          <w:rFonts w:ascii="Verdana" w:hAnsi="Verdana"/>
          <w:b/>
          <w:sz w:val="28"/>
          <w:szCs w:val="28"/>
        </w:rPr>
        <w:t xml:space="preserve">Technical Update </w:t>
      </w:r>
      <w:r w:rsidR="00B27426" w:rsidRPr="00750251">
        <w:rPr>
          <w:rFonts w:ascii="Verdana" w:hAnsi="Verdana"/>
          <w:b/>
          <w:sz w:val="28"/>
          <w:szCs w:val="28"/>
        </w:rPr>
        <w:t>Day</w:t>
      </w:r>
      <w:r w:rsidR="00331140">
        <w:rPr>
          <w:rFonts w:ascii="Verdana" w:hAnsi="Verdana"/>
          <w:b/>
          <w:sz w:val="28"/>
          <w:szCs w:val="28"/>
        </w:rPr>
        <w:t>s</w:t>
      </w:r>
      <w:r w:rsidR="00061D8A">
        <w:rPr>
          <w:rFonts w:ascii="Verdana" w:hAnsi="Verdana"/>
          <w:b/>
          <w:sz w:val="28"/>
          <w:szCs w:val="28"/>
        </w:rPr>
        <w:t>:</w:t>
      </w:r>
      <w:r w:rsidR="00A44DD3" w:rsidRPr="00750251">
        <w:rPr>
          <w:rFonts w:ascii="Verdana" w:hAnsi="Verdana"/>
          <w:b/>
          <w:sz w:val="28"/>
          <w:szCs w:val="28"/>
        </w:rPr>
        <w:t xml:space="preserve"> </w:t>
      </w:r>
    </w:p>
    <w:p w:rsidR="00F10EBA" w:rsidRPr="00750251" w:rsidRDefault="0008529F" w:rsidP="00E95B74">
      <w:pPr>
        <w:pStyle w:val="Header"/>
        <w:ind w:left="-1276"/>
        <w:outlineLvl w:val="0"/>
        <w:rPr>
          <w:rFonts w:ascii="Verdana" w:hAnsi="Verdana"/>
          <w:b/>
          <w:sz w:val="28"/>
          <w:szCs w:val="28"/>
        </w:rPr>
      </w:pPr>
      <w:r>
        <w:rPr>
          <w:rFonts w:ascii="Verdana" w:hAnsi="Verdana"/>
          <w:b/>
          <w:sz w:val="28"/>
          <w:szCs w:val="28"/>
        </w:rPr>
        <w:t>Title</w:t>
      </w:r>
      <w:r w:rsidR="007D209B">
        <w:rPr>
          <w:rFonts w:ascii="Verdana" w:hAnsi="Verdana"/>
          <w:b/>
          <w:sz w:val="28"/>
          <w:szCs w:val="28"/>
        </w:rPr>
        <w:t xml:space="preserve">: What are the key changes to financial reporting? </w:t>
      </w:r>
      <w:r>
        <w:rPr>
          <w:rFonts w:ascii="Verdana" w:hAnsi="Verdana"/>
          <w:b/>
          <w:sz w:val="28"/>
          <w:szCs w:val="28"/>
        </w:rPr>
        <w:t xml:space="preserve"> </w:t>
      </w:r>
    </w:p>
    <w:p w:rsidR="00E34FAD" w:rsidRPr="00750251" w:rsidRDefault="00E34FAD">
      <w:pPr>
        <w:rPr>
          <w:rFonts w:ascii="Verdana" w:hAnsi="Verdana"/>
          <w:sz w:val="18"/>
          <w:szCs w:val="18"/>
        </w:rPr>
      </w:pPr>
    </w:p>
    <w:tbl>
      <w:tblPr>
        <w:tblW w:w="10303" w:type="dxa"/>
        <w:tblInd w:w="-1168" w:type="dxa"/>
        <w:tblBorders>
          <w:top w:val="single" w:sz="2" w:space="0" w:color="56AA1C"/>
          <w:bottom w:val="single" w:sz="2" w:space="0" w:color="56AA1C"/>
          <w:insideH w:val="single" w:sz="2" w:space="0" w:color="56AA1C"/>
        </w:tblBorders>
        <w:tblLook w:val="0000" w:firstRow="0" w:lastRow="0" w:firstColumn="0" w:lastColumn="0" w:noHBand="0" w:noVBand="0"/>
      </w:tblPr>
      <w:tblGrid>
        <w:gridCol w:w="1843"/>
        <w:gridCol w:w="8460"/>
      </w:tblGrid>
      <w:tr w:rsidR="00FF611E" w:rsidRPr="0014239A" w:rsidTr="006165F3">
        <w:trPr>
          <w:cantSplit/>
          <w:trHeight w:val="741"/>
        </w:trPr>
        <w:tc>
          <w:tcPr>
            <w:tcW w:w="10303" w:type="dxa"/>
            <w:gridSpan w:val="2"/>
            <w:tcBorders>
              <w:top w:val="single" w:sz="2" w:space="0" w:color="000000"/>
              <w:bottom w:val="single" w:sz="2" w:space="0" w:color="000000"/>
            </w:tcBorders>
            <w:vAlign w:val="center"/>
          </w:tcPr>
          <w:p w:rsidR="00690038" w:rsidRDefault="00FF611E" w:rsidP="008953ED">
            <w:pPr>
              <w:pStyle w:val="Heading1"/>
              <w:rPr>
                <w:rFonts w:ascii="Verdana" w:hAnsi="Verdana"/>
                <w:b/>
                <w:sz w:val="22"/>
                <w:szCs w:val="22"/>
              </w:rPr>
            </w:pPr>
            <w:r>
              <w:rPr>
                <w:rFonts w:ascii="Verdana" w:hAnsi="Verdana"/>
                <w:b/>
                <w:sz w:val="22"/>
                <w:szCs w:val="22"/>
              </w:rPr>
              <w:t>6 July 2018</w:t>
            </w:r>
            <w:proofErr w:type="gramStart"/>
            <w:r>
              <w:rPr>
                <w:rFonts w:ascii="Verdana" w:hAnsi="Verdana"/>
                <w:b/>
                <w:sz w:val="22"/>
                <w:szCs w:val="22"/>
              </w:rPr>
              <w:t>,</w:t>
            </w:r>
            <w:r w:rsidR="00690038">
              <w:rPr>
                <w:rFonts w:ascii="Verdana" w:hAnsi="Verdana"/>
                <w:b/>
                <w:sz w:val="22"/>
                <w:szCs w:val="22"/>
              </w:rPr>
              <w:t xml:space="preserve">  Cardiff</w:t>
            </w:r>
            <w:proofErr w:type="gramEnd"/>
          </w:p>
          <w:p w:rsidR="00FF611E" w:rsidRDefault="00FF611E" w:rsidP="008953ED">
            <w:pPr>
              <w:pStyle w:val="Heading1"/>
              <w:rPr>
                <w:rFonts w:ascii="Verdana" w:hAnsi="Verdana"/>
                <w:b/>
                <w:sz w:val="22"/>
                <w:szCs w:val="22"/>
              </w:rPr>
            </w:pPr>
            <w:r>
              <w:rPr>
                <w:rFonts w:ascii="Verdana" w:hAnsi="Verdana"/>
                <w:b/>
                <w:sz w:val="22"/>
                <w:szCs w:val="22"/>
              </w:rPr>
              <w:t xml:space="preserve">Chair, Tony </w:t>
            </w:r>
            <w:proofErr w:type="spellStart"/>
            <w:r>
              <w:rPr>
                <w:rFonts w:ascii="Verdana" w:hAnsi="Verdana"/>
                <w:b/>
                <w:sz w:val="22"/>
                <w:szCs w:val="22"/>
              </w:rPr>
              <w:t>Hagland</w:t>
            </w:r>
            <w:proofErr w:type="spellEnd"/>
            <w:r>
              <w:rPr>
                <w:rFonts w:ascii="Verdana" w:hAnsi="Verdana"/>
                <w:b/>
                <w:sz w:val="22"/>
                <w:szCs w:val="22"/>
              </w:rPr>
              <w:t xml:space="preserve">, </w:t>
            </w:r>
            <w:r w:rsidRPr="00E15D82">
              <w:rPr>
                <w:rFonts w:ascii="Verdana" w:hAnsi="Verdana"/>
                <w:b/>
                <w:sz w:val="22"/>
                <w:szCs w:val="22"/>
              </w:rPr>
              <w:t>Blaenau Gwent County Borough Council</w:t>
            </w:r>
            <w:r w:rsidR="00690038">
              <w:rPr>
                <w:rFonts w:ascii="Verdana" w:hAnsi="Verdana"/>
                <w:b/>
                <w:sz w:val="22"/>
                <w:szCs w:val="22"/>
              </w:rPr>
              <w:t>,</w:t>
            </w:r>
            <w:r w:rsidRPr="00E15D82">
              <w:rPr>
                <w:rFonts w:ascii="Verdana" w:hAnsi="Verdana"/>
                <w:b/>
                <w:sz w:val="22"/>
                <w:szCs w:val="22"/>
              </w:rPr>
              <w:t xml:space="preserve"> </w:t>
            </w:r>
            <w:r>
              <w:rPr>
                <w:rFonts w:ascii="Verdana" w:hAnsi="Verdana"/>
                <w:b/>
                <w:sz w:val="22"/>
                <w:szCs w:val="22"/>
              </w:rPr>
              <w:t xml:space="preserve">Welsh Accounts Preparer Representative on the Local Authority Accounting Panel </w:t>
            </w:r>
          </w:p>
          <w:p w:rsidR="00FF611E" w:rsidRPr="00FC5E1C" w:rsidRDefault="00FF611E" w:rsidP="008953ED"/>
          <w:p w:rsidR="00FF611E" w:rsidRPr="007D209B" w:rsidRDefault="00FF611E" w:rsidP="008953ED">
            <w:pPr>
              <w:pStyle w:val="Heading1"/>
              <w:rPr>
                <w:rFonts w:ascii="Verdana" w:hAnsi="Verdana"/>
                <w:b/>
                <w:sz w:val="22"/>
                <w:szCs w:val="22"/>
              </w:rPr>
            </w:pPr>
          </w:p>
        </w:tc>
      </w:tr>
      <w:tr w:rsidR="00D3623C" w:rsidRPr="00750251" w:rsidTr="006165F3">
        <w:trPr>
          <w:cantSplit/>
        </w:trPr>
        <w:tc>
          <w:tcPr>
            <w:tcW w:w="1843" w:type="dxa"/>
            <w:tcBorders>
              <w:top w:val="single" w:sz="2" w:space="0" w:color="000000"/>
              <w:bottom w:val="single" w:sz="2" w:space="0" w:color="000000"/>
            </w:tcBorders>
          </w:tcPr>
          <w:p w:rsidR="00D3623C" w:rsidRPr="00750251" w:rsidRDefault="00D3623C" w:rsidP="0068459F">
            <w:pPr>
              <w:spacing w:beforeLines="60" w:before="144" w:after="60"/>
              <w:rPr>
                <w:rFonts w:ascii="Verdana" w:hAnsi="Verdana"/>
                <w:sz w:val="18"/>
                <w:szCs w:val="18"/>
              </w:rPr>
            </w:pPr>
            <w:r w:rsidRPr="00750251">
              <w:rPr>
                <w:rFonts w:ascii="Verdana" w:hAnsi="Verdana"/>
                <w:sz w:val="18"/>
                <w:szCs w:val="18"/>
              </w:rPr>
              <w:t xml:space="preserve">09.30 – 10.00 </w:t>
            </w:r>
          </w:p>
        </w:tc>
        <w:tc>
          <w:tcPr>
            <w:tcW w:w="8460" w:type="dxa"/>
            <w:tcBorders>
              <w:top w:val="single" w:sz="2" w:space="0" w:color="000000"/>
              <w:bottom w:val="single" w:sz="2" w:space="0" w:color="000000"/>
            </w:tcBorders>
          </w:tcPr>
          <w:p w:rsidR="00D3623C" w:rsidRDefault="00D3623C" w:rsidP="00E95B74">
            <w:pPr>
              <w:pStyle w:val="Heading9"/>
              <w:spacing w:beforeLines="60" w:before="144" w:after="60"/>
              <w:rPr>
                <w:rFonts w:ascii="Verdana" w:hAnsi="Verdana"/>
                <w:b w:val="0"/>
                <w:i w:val="0"/>
                <w:color w:val="000000"/>
                <w:sz w:val="18"/>
                <w:szCs w:val="18"/>
              </w:rPr>
            </w:pPr>
            <w:r w:rsidRPr="00750251">
              <w:rPr>
                <w:rFonts w:ascii="Verdana" w:hAnsi="Verdana"/>
                <w:b w:val="0"/>
                <w:i w:val="0"/>
                <w:color w:val="000000"/>
                <w:sz w:val="18"/>
                <w:szCs w:val="18"/>
              </w:rPr>
              <w:t xml:space="preserve">Refreshments and Registration </w:t>
            </w:r>
          </w:p>
          <w:p w:rsidR="00D3623C" w:rsidRPr="00396686" w:rsidRDefault="00D3623C" w:rsidP="00396686"/>
        </w:tc>
      </w:tr>
      <w:tr w:rsidR="00D3623C" w:rsidRPr="00750251" w:rsidTr="006165F3">
        <w:trPr>
          <w:cantSplit/>
        </w:trPr>
        <w:tc>
          <w:tcPr>
            <w:tcW w:w="1843" w:type="dxa"/>
            <w:tcBorders>
              <w:top w:val="single" w:sz="2" w:space="0" w:color="000000"/>
              <w:bottom w:val="single" w:sz="2" w:space="0" w:color="000000"/>
            </w:tcBorders>
          </w:tcPr>
          <w:p w:rsidR="00D3623C" w:rsidRPr="00750251" w:rsidRDefault="00D3623C" w:rsidP="0068459F">
            <w:pPr>
              <w:spacing w:beforeLines="60" w:before="144" w:after="60"/>
              <w:rPr>
                <w:rFonts w:ascii="Verdana" w:hAnsi="Verdana"/>
                <w:sz w:val="18"/>
                <w:szCs w:val="18"/>
              </w:rPr>
            </w:pPr>
            <w:r w:rsidRPr="00750251">
              <w:rPr>
                <w:rFonts w:ascii="Verdana" w:hAnsi="Verdana"/>
                <w:sz w:val="18"/>
                <w:szCs w:val="18"/>
              </w:rPr>
              <w:t>10.00 – 10.10</w:t>
            </w:r>
          </w:p>
        </w:tc>
        <w:tc>
          <w:tcPr>
            <w:tcW w:w="8460" w:type="dxa"/>
            <w:tcBorders>
              <w:top w:val="single" w:sz="2" w:space="0" w:color="000000"/>
              <w:bottom w:val="single" w:sz="2" w:space="0" w:color="000000"/>
            </w:tcBorders>
          </w:tcPr>
          <w:p w:rsidR="00D3623C" w:rsidRDefault="00D3623C" w:rsidP="00E95B74">
            <w:pPr>
              <w:pStyle w:val="Heading1"/>
              <w:spacing w:beforeLines="60" w:before="144" w:after="60"/>
              <w:jc w:val="both"/>
              <w:rPr>
                <w:rFonts w:ascii="Verdana" w:hAnsi="Verdana"/>
                <w:b/>
                <w:sz w:val="18"/>
                <w:szCs w:val="18"/>
              </w:rPr>
            </w:pPr>
            <w:r w:rsidRPr="00750251">
              <w:rPr>
                <w:rFonts w:ascii="Verdana" w:hAnsi="Verdana"/>
                <w:b/>
                <w:sz w:val="18"/>
                <w:szCs w:val="18"/>
              </w:rPr>
              <w:t>Chair’s welcome and introduction</w:t>
            </w:r>
          </w:p>
          <w:p w:rsidR="00D3623C" w:rsidRPr="00A56987" w:rsidRDefault="00D3623C" w:rsidP="00A56987"/>
        </w:tc>
      </w:tr>
      <w:tr w:rsidR="00D3623C" w:rsidRPr="00750251" w:rsidTr="006165F3">
        <w:trPr>
          <w:cantSplit/>
        </w:trPr>
        <w:tc>
          <w:tcPr>
            <w:tcW w:w="1843" w:type="dxa"/>
            <w:tcBorders>
              <w:top w:val="single" w:sz="2" w:space="0" w:color="000000"/>
              <w:bottom w:val="single" w:sz="2" w:space="0" w:color="000000"/>
            </w:tcBorders>
          </w:tcPr>
          <w:p w:rsidR="00D3623C" w:rsidRPr="00750251" w:rsidRDefault="00D3623C" w:rsidP="00B72F56">
            <w:pPr>
              <w:spacing w:beforeLines="60" w:before="144" w:after="60"/>
              <w:rPr>
                <w:rFonts w:ascii="Verdana" w:hAnsi="Verdana"/>
                <w:sz w:val="18"/>
                <w:szCs w:val="18"/>
              </w:rPr>
            </w:pPr>
            <w:r w:rsidRPr="00750251">
              <w:rPr>
                <w:rFonts w:ascii="Verdana" w:hAnsi="Verdana"/>
                <w:sz w:val="18"/>
                <w:szCs w:val="18"/>
              </w:rPr>
              <w:t>1</w:t>
            </w:r>
            <w:r>
              <w:rPr>
                <w:rFonts w:ascii="Verdana" w:hAnsi="Verdana"/>
                <w:sz w:val="18"/>
                <w:szCs w:val="18"/>
              </w:rPr>
              <w:t>0</w:t>
            </w:r>
            <w:r w:rsidRPr="00750251">
              <w:rPr>
                <w:rFonts w:ascii="Verdana" w:hAnsi="Verdana"/>
                <w:sz w:val="18"/>
                <w:szCs w:val="18"/>
              </w:rPr>
              <w:t>.</w:t>
            </w:r>
            <w:r>
              <w:rPr>
                <w:rFonts w:ascii="Verdana" w:hAnsi="Verdana"/>
                <w:sz w:val="18"/>
                <w:szCs w:val="18"/>
              </w:rPr>
              <w:t>10</w:t>
            </w:r>
            <w:r w:rsidRPr="00750251">
              <w:rPr>
                <w:rFonts w:ascii="Verdana" w:hAnsi="Verdana"/>
                <w:sz w:val="18"/>
                <w:szCs w:val="18"/>
              </w:rPr>
              <w:t xml:space="preserve"> – 1</w:t>
            </w:r>
            <w:r>
              <w:rPr>
                <w:rFonts w:ascii="Verdana" w:hAnsi="Verdana"/>
                <w:sz w:val="18"/>
                <w:szCs w:val="18"/>
              </w:rPr>
              <w:t>1</w:t>
            </w:r>
            <w:r w:rsidRPr="00750251">
              <w:rPr>
                <w:rFonts w:ascii="Verdana" w:hAnsi="Verdana"/>
                <w:sz w:val="18"/>
                <w:szCs w:val="18"/>
              </w:rPr>
              <w:t>.</w:t>
            </w:r>
            <w:r>
              <w:rPr>
                <w:rFonts w:ascii="Verdana" w:hAnsi="Verdana"/>
                <w:sz w:val="18"/>
                <w:szCs w:val="18"/>
              </w:rPr>
              <w:t>00</w:t>
            </w:r>
          </w:p>
        </w:tc>
        <w:tc>
          <w:tcPr>
            <w:tcW w:w="8460" w:type="dxa"/>
            <w:tcBorders>
              <w:top w:val="single" w:sz="2" w:space="0" w:color="000000"/>
              <w:bottom w:val="single" w:sz="2" w:space="0" w:color="000000"/>
            </w:tcBorders>
          </w:tcPr>
          <w:p w:rsidR="00D3623C" w:rsidRPr="006165F3" w:rsidRDefault="00D3623C" w:rsidP="00AA73D5">
            <w:pPr>
              <w:spacing w:before="120" w:after="120"/>
              <w:rPr>
                <w:rFonts w:ascii="Verdana" w:hAnsi="Verdana"/>
                <w:b/>
                <w:sz w:val="18"/>
                <w:szCs w:val="18"/>
              </w:rPr>
            </w:pPr>
            <w:r>
              <w:rPr>
                <w:rFonts w:ascii="Verdana" w:hAnsi="Verdana"/>
                <w:b/>
                <w:sz w:val="18"/>
                <w:szCs w:val="18"/>
              </w:rPr>
              <w:t xml:space="preserve">The latest developments in the </w:t>
            </w:r>
            <w:r w:rsidRPr="00007833">
              <w:rPr>
                <w:rFonts w:ascii="Verdana" w:hAnsi="Verdana"/>
                <w:b/>
                <w:i/>
                <w:sz w:val="18"/>
                <w:szCs w:val="18"/>
              </w:rPr>
              <w:t>Code of Practice on Local Authority Accounting in the United Kingdom</w:t>
            </w:r>
            <w:r>
              <w:rPr>
                <w:rFonts w:ascii="Verdana" w:hAnsi="Verdana"/>
                <w:b/>
                <w:sz w:val="18"/>
                <w:szCs w:val="18"/>
              </w:rPr>
              <w:t xml:space="preserve">  </w:t>
            </w:r>
          </w:p>
          <w:p w:rsidR="003D7C25" w:rsidRDefault="003D7C25" w:rsidP="003D7C25">
            <w:pPr>
              <w:pStyle w:val="ListParagraph"/>
              <w:numPr>
                <w:ilvl w:val="0"/>
                <w:numId w:val="15"/>
              </w:numPr>
              <w:spacing w:before="120" w:after="120"/>
              <w:rPr>
                <w:rFonts w:ascii="Verdana" w:hAnsi="Verdana"/>
                <w:sz w:val="18"/>
                <w:szCs w:val="18"/>
              </w:rPr>
            </w:pPr>
            <w:r>
              <w:rPr>
                <w:rFonts w:ascii="Verdana" w:hAnsi="Verdana"/>
                <w:sz w:val="18"/>
                <w:szCs w:val="18"/>
              </w:rPr>
              <w:t>The very latest in the developments on the local authority accounting Code following the consultation on the 2019/20 Code including:</w:t>
            </w:r>
          </w:p>
          <w:p w:rsidR="003D7C25" w:rsidRDefault="003D7C25" w:rsidP="003D7C25">
            <w:pPr>
              <w:pStyle w:val="ListParagraph"/>
              <w:numPr>
                <w:ilvl w:val="1"/>
                <w:numId w:val="14"/>
              </w:numPr>
              <w:tabs>
                <w:tab w:val="left" w:pos="1168"/>
              </w:tabs>
              <w:spacing w:before="120" w:after="120"/>
              <w:ind w:left="1168" w:hanging="425"/>
              <w:rPr>
                <w:rFonts w:ascii="Verdana" w:hAnsi="Verdana"/>
                <w:sz w:val="18"/>
                <w:szCs w:val="18"/>
              </w:rPr>
            </w:pPr>
            <w:r>
              <w:rPr>
                <w:rFonts w:ascii="Verdana" w:hAnsi="Verdana"/>
                <w:sz w:val="18"/>
                <w:szCs w:val="18"/>
              </w:rPr>
              <w:t xml:space="preserve">IFRS 16 </w:t>
            </w:r>
            <w:r w:rsidRPr="00084936">
              <w:rPr>
                <w:rFonts w:ascii="Verdana" w:hAnsi="Verdana"/>
                <w:i/>
                <w:sz w:val="18"/>
                <w:szCs w:val="18"/>
              </w:rPr>
              <w:t>Leases</w:t>
            </w:r>
            <w:r>
              <w:rPr>
                <w:rFonts w:ascii="Verdana" w:hAnsi="Verdana"/>
                <w:sz w:val="18"/>
                <w:szCs w:val="18"/>
              </w:rPr>
              <w:t xml:space="preserve"> consultation</w:t>
            </w:r>
          </w:p>
          <w:p w:rsidR="003D7C25" w:rsidRDefault="003D7C25" w:rsidP="003D7C25">
            <w:pPr>
              <w:pStyle w:val="ListParagraph"/>
              <w:numPr>
                <w:ilvl w:val="1"/>
                <w:numId w:val="14"/>
              </w:numPr>
              <w:tabs>
                <w:tab w:val="left" w:pos="1168"/>
              </w:tabs>
              <w:spacing w:before="120" w:after="120"/>
              <w:ind w:left="1168" w:hanging="425"/>
              <w:rPr>
                <w:rFonts w:ascii="Verdana" w:hAnsi="Verdana"/>
                <w:sz w:val="18"/>
                <w:szCs w:val="18"/>
              </w:rPr>
            </w:pPr>
            <w:r>
              <w:rPr>
                <w:rFonts w:ascii="Verdana" w:hAnsi="Verdana"/>
                <w:sz w:val="18"/>
                <w:szCs w:val="18"/>
              </w:rPr>
              <w:t xml:space="preserve">IASB Conceptual Framework </w:t>
            </w:r>
          </w:p>
          <w:p w:rsidR="003D7C25" w:rsidRDefault="003D7C25" w:rsidP="003D7C25">
            <w:pPr>
              <w:pStyle w:val="ListParagraph"/>
              <w:numPr>
                <w:ilvl w:val="1"/>
                <w:numId w:val="14"/>
              </w:numPr>
              <w:tabs>
                <w:tab w:val="left" w:pos="1168"/>
              </w:tabs>
              <w:spacing w:before="120" w:after="120"/>
              <w:ind w:left="1168" w:hanging="425"/>
              <w:rPr>
                <w:rFonts w:ascii="Verdana" w:hAnsi="Verdana"/>
                <w:sz w:val="18"/>
                <w:szCs w:val="18"/>
              </w:rPr>
            </w:pPr>
            <w:r>
              <w:rPr>
                <w:rFonts w:ascii="Verdana" w:hAnsi="Verdana"/>
                <w:sz w:val="18"/>
                <w:szCs w:val="18"/>
              </w:rPr>
              <w:t xml:space="preserve">review of the Telling the Story changes to the Code </w:t>
            </w:r>
          </w:p>
          <w:p w:rsidR="003D7C25" w:rsidRDefault="003D7C25" w:rsidP="003D7C25">
            <w:pPr>
              <w:pStyle w:val="ListParagraph"/>
              <w:numPr>
                <w:ilvl w:val="1"/>
                <w:numId w:val="14"/>
              </w:numPr>
              <w:tabs>
                <w:tab w:val="left" w:pos="1168"/>
              </w:tabs>
              <w:spacing w:before="120" w:after="120"/>
              <w:ind w:left="1168" w:hanging="425"/>
              <w:rPr>
                <w:rFonts w:ascii="Verdana" w:hAnsi="Verdana"/>
                <w:sz w:val="18"/>
                <w:szCs w:val="18"/>
              </w:rPr>
            </w:pPr>
            <w:r>
              <w:rPr>
                <w:rFonts w:ascii="Verdana" w:hAnsi="Verdana"/>
                <w:sz w:val="18"/>
                <w:szCs w:val="18"/>
              </w:rPr>
              <w:t>post implementation review changes</w:t>
            </w:r>
          </w:p>
          <w:p w:rsidR="003D7C25" w:rsidRDefault="003D7C25" w:rsidP="003D7C25">
            <w:pPr>
              <w:pStyle w:val="ListParagraph"/>
              <w:numPr>
                <w:ilvl w:val="1"/>
                <w:numId w:val="14"/>
              </w:numPr>
              <w:tabs>
                <w:tab w:val="left" w:pos="1168"/>
              </w:tabs>
              <w:spacing w:before="120" w:after="120"/>
              <w:ind w:left="1168" w:hanging="425"/>
              <w:rPr>
                <w:rFonts w:ascii="Verdana" w:hAnsi="Verdana"/>
                <w:sz w:val="18"/>
                <w:szCs w:val="18"/>
              </w:rPr>
            </w:pPr>
            <w:r>
              <w:rPr>
                <w:rFonts w:ascii="Verdana" w:hAnsi="Verdana"/>
                <w:sz w:val="18"/>
                <w:szCs w:val="18"/>
              </w:rPr>
              <w:t>narrow scope amendments</w:t>
            </w:r>
          </w:p>
          <w:p w:rsidR="003D7C25" w:rsidRDefault="001204A9" w:rsidP="003D7C25">
            <w:pPr>
              <w:pStyle w:val="ListParagraph"/>
              <w:numPr>
                <w:ilvl w:val="0"/>
                <w:numId w:val="15"/>
              </w:numPr>
              <w:spacing w:before="120" w:after="120"/>
              <w:rPr>
                <w:rFonts w:ascii="Verdana" w:hAnsi="Verdana"/>
                <w:sz w:val="18"/>
                <w:szCs w:val="18"/>
              </w:rPr>
            </w:pPr>
            <w:proofErr w:type="gramStart"/>
            <w:r>
              <w:rPr>
                <w:rFonts w:ascii="Verdana" w:hAnsi="Verdana"/>
                <w:sz w:val="18"/>
                <w:szCs w:val="18"/>
              </w:rPr>
              <w:t>f</w:t>
            </w:r>
            <w:r w:rsidR="003D7C25" w:rsidRPr="00A23599">
              <w:rPr>
                <w:rFonts w:ascii="Verdana" w:hAnsi="Verdana"/>
                <w:sz w:val="18"/>
                <w:szCs w:val="18"/>
              </w:rPr>
              <w:t>uture</w:t>
            </w:r>
            <w:proofErr w:type="gramEnd"/>
            <w:r w:rsidR="003D7C25" w:rsidRPr="00A23599">
              <w:rPr>
                <w:rFonts w:ascii="Verdana" w:hAnsi="Verdana"/>
                <w:sz w:val="18"/>
                <w:szCs w:val="18"/>
              </w:rPr>
              <w:t xml:space="preserve"> changes to financial reporting.</w:t>
            </w:r>
            <w:r w:rsidR="003D7C25">
              <w:rPr>
                <w:rFonts w:ascii="Verdana" w:hAnsi="Verdana"/>
                <w:sz w:val="18"/>
                <w:szCs w:val="18"/>
              </w:rPr>
              <w:t xml:space="preserve"> </w:t>
            </w:r>
          </w:p>
          <w:p w:rsidR="00D3623C" w:rsidRPr="0004096A" w:rsidRDefault="00D3623C" w:rsidP="00690038">
            <w:pPr>
              <w:spacing w:before="120" w:after="120"/>
              <w:rPr>
                <w:rFonts w:ascii="Verdana" w:hAnsi="Verdana"/>
                <w:b/>
                <w:sz w:val="18"/>
                <w:szCs w:val="18"/>
              </w:rPr>
            </w:pPr>
            <w:r w:rsidRPr="002B4EEB">
              <w:rPr>
                <w:rFonts w:ascii="Verdana" w:hAnsi="Verdana"/>
                <w:sz w:val="18"/>
                <w:szCs w:val="18"/>
              </w:rPr>
              <w:t>Speaker:</w:t>
            </w:r>
            <w:r>
              <w:rPr>
                <w:rFonts w:ascii="Verdana" w:hAnsi="Verdana"/>
                <w:b/>
                <w:i/>
                <w:sz w:val="18"/>
                <w:szCs w:val="18"/>
              </w:rPr>
              <w:t xml:space="preserve"> Lynn Pammen</w:t>
            </w:r>
            <w:r w:rsidR="00224745">
              <w:rPr>
                <w:rFonts w:ascii="Verdana" w:hAnsi="Verdana"/>
                <w:b/>
                <w:i/>
                <w:sz w:val="18"/>
                <w:szCs w:val="18"/>
              </w:rPr>
              <w:t>t, PwC,  Chair of CIPFA/LASAAC</w:t>
            </w:r>
            <w:r w:rsidR="0008529F">
              <w:rPr>
                <w:rFonts w:ascii="Verdana" w:hAnsi="Verdana"/>
                <w:b/>
                <w:i/>
                <w:sz w:val="18"/>
                <w:szCs w:val="18"/>
              </w:rPr>
              <w:t xml:space="preserve"> </w:t>
            </w:r>
            <w:r w:rsidR="00690038">
              <w:rPr>
                <w:rFonts w:ascii="Verdana" w:hAnsi="Verdana"/>
                <w:b/>
                <w:i/>
                <w:sz w:val="18"/>
                <w:szCs w:val="18"/>
              </w:rPr>
              <w:t>Local Authority Accounting Code Board</w:t>
            </w:r>
          </w:p>
        </w:tc>
      </w:tr>
      <w:tr w:rsidR="00D3623C" w:rsidRPr="00750251" w:rsidTr="006165F3">
        <w:trPr>
          <w:cantSplit/>
        </w:trPr>
        <w:tc>
          <w:tcPr>
            <w:tcW w:w="1843" w:type="dxa"/>
            <w:tcBorders>
              <w:top w:val="single" w:sz="2" w:space="0" w:color="000000"/>
              <w:bottom w:val="single" w:sz="2" w:space="0" w:color="000000"/>
            </w:tcBorders>
          </w:tcPr>
          <w:p w:rsidR="00D3623C" w:rsidRPr="00681193" w:rsidRDefault="00D3623C" w:rsidP="008C5015">
            <w:pPr>
              <w:spacing w:before="60" w:after="60"/>
              <w:rPr>
                <w:rFonts w:ascii="Verdana" w:hAnsi="Verdana"/>
                <w:sz w:val="18"/>
                <w:szCs w:val="18"/>
              </w:rPr>
            </w:pPr>
            <w:r>
              <w:rPr>
                <w:rFonts w:ascii="Verdana" w:hAnsi="Verdana"/>
                <w:sz w:val="18"/>
                <w:szCs w:val="18"/>
              </w:rPr>
              <w:t>11:00 – 11:30</w:t>
            </w:r>
          </w:p>
        </w:tc>
        <w:tc>
          <w:tcPr>
            <w:tcW w:w="8460" w:type="dxa"/>
            <w:tcBorders>
              <w:top w:val="single" w:sz="2" w:space="0" w:color="000000"/>
              <w:bottom w:val="single" w:sz="2" w:space="0" w:color="000000"/>
            </w:tcBorders>
          </w:tcPr>
          <w:p w:rsidR="00D3623C" w:rsidRDefault="00D3623C" w:rsidP="008C5015">
            <w:pPr>
              <w:pStyle w:val="ListParagraph"/>
              <w:spacing w:before="120" w:after="120"/>
              <w:ind w:left="34"/>
              <w:rPr>
                <w:rFonts w:ascii="Verdana" w:eastAsia="Times New Roman" w:hAnsi="Verdana"/>
                <w:b/>
                <w:color w:val="000000"/>
                <w:sz w:val="18"/>
                <w:szCs w:val="18"/>
              </w:rPr>
            </w:pPr>
            <w:r>
              <w:rPr>
                <w:rFonts w:ascii="Verdana" w:eastAsia="Times New Roman" w:hAnsi="Verdana"/>
                <w:b/>
                <w:color w:val="000000"/>
                <w:sz w:val="18"/>
                <w:szCs w:val="18"/>
              </w:rPr>
              <w:t xml:space="preserve">Policy Changes </w:t>
            </w:r>
            <w:r w:rsidR="00E461DF">
              <w:rPr>
                <w:rFonts w:ascii="Verdana" w:eastAsia="Times New Roman" w:hAnsi="Verdana"/>
                <w:b/>
                <w:color w:val="000000"/>
                <w:sz w:val="18"/>
                <w:szCs w:val="18"/>
              </w:rPr>
              <w:t xml:space="preserve">and their Potential Impact </w:t>
            </w:r>
            <w:r>
              <w:rPr>
                <w:rFonts w:ascii="Verdana" w:eastAsia="Times New Roman" w:hAnsi="Verdana"/>
                <w:b/>
                <w:color w:val="000000"/>
                <w:sz w:val="18"/>
                <w:szCs w:val="18"/>
              </w:rPr>
              <w:t xml:space="preserve"> </w:t>
            </w:r>
          </w:p>
          <w:p w:rsidR="00D3623C" w:rsidRDefault="00D3623C" w:rsidP="008C5015">
            <w:pPr>
              <w:pStyle w:val="ListParagraph"/>
              <w:spacing w:before="120" w:after="120"/>
              <w:ind w:left="34"/>
              <w:rPr>
                <w:rFonts w:ascii="Verdana" w:eastAsia="Times New Roman" w:hAnsi="Verdana"/>
                <w:b/>
                <w:color w:val="000000"/>
                <w:sz w:val="18"/>
                <w:szCs w:val="18"/>
              </w:rPr>
            </w:pPr>
          </w:p>
          <w:p w:rsidR="00D3623C" w:rsidRDefault="00D3623C" w:rsidP="002E6055">
            <w:pPr>
              <w:pStyle w:val="ListParagraph"/>
              <w:numPr>
                <w:ilvl w:val="0"/>
                <w:numId w:val="15"/>
              </w:numPr>
              <w:spacing w:before="120" w:after="120"/>
              <w:rPr>
                <w:rFonts w:ascii="Verdana" w:eastAsia="Times New Roman" w:hAnsi="Verdana"/>
                <w:color w:val="000000"/>
                <w:sz w:val="18"/>
                <w:szCs w:val="18"/>
              </w:rPr>
            </w:pPr>
            <w:r w:rsidRPr="00D71620">
              <w:rPr>
                <w:rFonts w:ascii="Verdana" w:hAnsi="Verdana"/>
                <w:sz w:val="18"/>
                <w:szCs w:val="18"/>
              </w:rPr>
              <w:t>The</w:t>
            </w:r>
            <w:r>
              <w:rPr>
                <w:rFonts w:ascii="Verdana" w:eastAsia="Times New Roman" w:hAnsi="Verdana"/>
                <w:color w:val="000000"/>
                <w:sz w:val="18"/>
                <w:szCs w:val="18"/>
              </w:rPr>
              <w:t xml:space="preserve"> latest in policy developments and regulatory changes </w:t>
            </w:r>
            <w:r w:rsidR="00690038">
              <w:rPr>
                <w:rFonts w:ascii="Verdana" w:eastAsia="Times New Roman" w:hAnsi="Verdana"/>
                <w:color w:val="000000"/>
                <w:sz w:val="18"/>
                <w:szCs w:val="18"/>
              </w:rPr>
              <w:t xml:space="preserve">in Wales </w:t>
            </w:r>
            <w:r>
              <w:rPr>
                <w:rFonts w:ascii="Verdana" w:eastAsia="Times New Roman" w:hAnsi="Verdana"/>
                <w:color w:val="000000"/>
                <w:sz w:val="18"/>
                <w:szCs w:val="18"/>
              </w:rPr>
              <w:t xml:space="preserve">and their impact on local </w:t>
            </w:r>
            <w:r w:rsidR="002E6055">
              <w:rPr>
                <w:rFonts w:ascii="Verdana" w:eastAsia="Times New Roman" w:hAnsi="Verdana"/>
                <w:color w:val="000000"/>
                <w:sz w:val="18"/>
                <w:szCs w:val="18"/>
              </w:rPr>
              <w:t>authorities</w:t>
            </w:r>
            <w:r w:rsidR="00BE31BA">
              <w:rPr>
                <w:rFonts w:ascii="Verdana" w:eastAsia="Times New Roman" w:hAnsi="Verdana"/>
                <w:color w:val="000000"/>
                <w:sz w:val="18"/>
                <w:szCs w:val="18"/>
              </w:rPr>
              <w:t>.</w:t>
            </w:r>
          </w:p>
          <w:p w:rsidR="00D3623C" w:rsidRDefault="00D3623C" w:rsidP="00553587">
            <w:pPr>
              <w:spacing w:before="120" w:after="120"/>
              <w:rPr>
                <w:rFonts w:ascii="Verdana" w:hAnsi="Verdana"/>
                <w:b/>
                <w:i/>
                <w:sz w:val="18"/>
                <w:szCs w:val="18"/>
              </w:rPr>
            </w:pPr>
            <w:r w:rsidRPr="002B4EEB">
              <w:rPr>
                <w:rFonts w:ascii="Verdana" w:hAnsi="Verdana"/>
                <w:sz w:val="18"/>
                <w:szCs w:val="18"/>
              </w:rPr>
              <w:t>Speaker</w:t>
            </w:r>
            <w:r w:rsidR="003605D0">
              <w:rPr>
                <w:rFonts w:ascii="Verdana" w:hAnsi="Verdana"/>
                <w:sz w:val="18"/>
                <w:szCs w:val="18"/>
              </w:rPr>
              <w:t>s</w:t>
            </w:r>
            <w:r w:rsidRPr="002B4EEB">
              <w:rPr>
                <w:rFonts w:ascii="Verdana" w:hAnsi="Verdana"/>
                <w:sz w:val="18"/>
                <w:szCs w:val="18"/>
              </w:rPr>
              <w:t>:</w:t>
            </w:r>
            <w:r w:rsidR="002E6055">
              <w:rPr>
                <w:rFonts w:ascii="Verdana" w:hAnsi="Verdana"/>
                <w:b/>
                <w:i/>
                <w:sz w:val="18"/>
                <w:szCs w:val="18"/>
              </w:rPr>
              <w:t xml:space="preserve"> </w:t>
            </w:r>
            <w:r w:rsidR="00340046">
              <w:rPr>
                <w:rFonts w:ascii="Verdana" w:hAnsi="Verdana"/>
                <w:b/>
                <w:i/>
                <w:sz w:val="18"/>
                <w:szCs w:val="18"/>
              </w:rPr>
              <w:t>Rob Hay</w:t>
            </w:r>
            <w:r w:rsidR="003605D0">
              <w:rPr>
                <w:rFonts w:ascii="Verdana" w:hAnsi="Verdana"/>
                <w:b/>
                <w:i/>
                <w:sz w:val="18"/>
                <w:szCs w:val="18"/>
              </w:rPr>
              <w:t xml:space="preserve"> and Amanda Whittle, Local Government Finance Policy Division and Amanda Whittle</w:t>
            </w:r>
          </w:p>
          <w:p w:rsidR="00D3623C" w:rsidRPr="00B3451D" w:rsidRDefault="00D3623C" w:rsidP="008C5015">
            <w:pPr>
              <w:pStyle w:val="ListParagraph"/>
              <w:spacing w:before="120" w:after="120"/>
              <w:ind w:left="176" w:hanging="88"/>
              <w:rPr>
                <w:rFonts w:ascii="Verdana" w:hAnsi="Verdana"/>
                <w:b/>
                <w:color w:val="000000"/>
                <w:sz w:val="18"/>
                <w:szCs w:val="18"/>
              </w:rPr>
            </w:pPr>
          </w:p>
        </w:tc>
      </w:tr>
      <w:tr w:rsidR="00D3623C" w:rsidRPr="00750251" w:rsidTr="006165F3">
        <w:trPr>
          <w:cantSplit/>
        </w:trPr>
        <w:tc>
          <w:tcPr>
            <w:tcW w:w="1843" w:type="dxa"/>
            <w:tcBorders>
              <w:top w:val="single" w:sz="2" w:space="0" w:color="000000"/>
              <w:bottom w:val="single" w:sz="2" w:space="0" w:color="000000"/>
            </w:tcBorders>
          </w:tcPr>
          <w:p w:rsidR="00D3623C" w:rsidRPr="00681193" w:rsidRDefault="00D3623C" w:rsidP="008C5015">
            <w:pPr>
              <w:spacing w:before="60" w:after="60"/>
              <w:rPr>
                <w:rFonts w:ascii="Verdana" w:hAnsi="Verdana"/>
                <w:sz w:val="18"/>
                <w:szCs w:val="18"/>
              </w:rPr>
            </w:pPr>
            <w:r>
              <w:rPr>
                <w:rFonts w:ascii="Verdana" w:hAnsi="Verdana"/>
                <w:sz w:val="18"/>
                <w:szCs w:val="18"/>
              </w:rPr>
              <w:t>11:30–</w:t>
            </w:r>
            <w:r w:rsidRPr="00681193">
              <w:rPr>
                <w:rFonts w:ascii="Verdana" w:hAnsi="Verdana"/>
                <w:sz w:val="18"/>
                <w:szCs w:val="18"/>
              </w:rPr>
              <w:t xml:space="preserve"> </w:t>
            </w:r>
            <w:r>
              <w:rPr>
                <w:rFonts w:ascii="Verdana" w:hAnsi="Verdana"/>
                <w:sz w:val="18"/>
                <w:szCs w:val="18"/>
              </w:rPr>
              <w:t>11:50</w:t>
            </w:r>
          </w:p>
        </w:tc>
        <w:tc>
          <w:tcPr>
            <w:tcW w:w="8460" w:type="dxa"/>
            <w:tcBorders>
              <w:top w:val="single" w:sz="2" w:space="0" w:color="000000"/>
              <w:bottom w:val="single" w:sz="2" w:space="0" w:color="000000"/>
            </w:tcBorders>
          </w:tcPr>
          <w:p w:rsidR="00D3623C" w:rsidRPr="004D32DB" w:rsidRDefault="00D3623C" w:rsidP="00BD63BA">
            <w:pPr>
              <w:spacing w:before="120" w:after="120"/>
              <w:rPr>
                <w:rFonts w:ascii="Verdana" w:hAnsi="Verdana"/>
                <w:b/>
                <w:color w:val="000000"/>
                <w:sz w:val="18"/>
                <w:szCs w:val="18"/>
              </w:rPr>
            </w:pPr>
            <w:r w:rsidRPr="001F7266">
              <w:rPr>
                <w:rFonts w:ascii="Verdana" w:hAnsi="Verdana"/>
                <w:sz w:val="18"/>
                <w:szCs w:val="18"/>
              </w:rPr>
              <w:t>Refreshment</w:t>
            </w:r>
            <w:r>
              <w:rPr>
                <w:rFonts w:ascii="Verdana" w:hAnsi="Verdana"/>
                <w:sz w:val="18"/>
                <w:szCs w:val="18"/>
              </w:rPr>
              <w:t xml:space="preserve"> break</w:t>
            </w:r>
          </w:p>
        </w:tc>
      </w:tr>
      <w:tr w:rsidR="00D3623C" w:rsidRPr="00750251" w:rsidTr="006165F3">
        <w:trPr>
          <w:cantSplit/>
        </w:trPr>
        <w:tc>
          <w:tcPr>
            <w:tcW w:w="1843" w:type="dxa"/>
            <w:tcBorders>
              <w:top w:val="single" w:sz="2" w:space="0" w:color="000000"/>
              <w:bottom w:val="single" w:sz="2" w:space="0" w:color="000000"/>
            </w:tcBorders>
          </w:tcPr>
          <w:p w:rsidR="00D3623C" w:rsidRPr="00750251" w:rsidRDefault="00D3623C" w:rsidP="00553587">
            <w:pPr>
              <w:spacing w:before="60" w:after="60"/>
              <w:rPr>
                <w:rFonts w:ascii="Verdana" w:hAnsi="Verdana"/>
                <w:sz w:val="18"/>
                <w:szCs w:val="18"/>
              </w:rPr>
            </w:pPr>
            <w:r w:rsidRPr="00681193">
              <w:rPr>
                <w:rFonts w:ascii="Verdana" w:hAnsi="Verdana"/>
                <w:sz w:val="18"/>
                <w:szCs w:val="18"/>
              </w:rPr>
              <w:t>1</w:t>
            </w:r>
            <w:r>
              <w:rPr>
                <w:rFonts w:ascii="Verdana" w:hAnsi="Verdana"/>
                <w:sz w:val="18"/>
                <w:szCs w:val="18"/>
              </w:rPr>
              <w:t>1</w:t>
            </w:r>
            <w:r w:rsidRPr="00681193">
              <w:rPr>
                <w:rFonts w:ascii="Verdana" w:hAnsi="Verdana"/>
                <w:sz w:val="18"/>
                <w:szCs w:val="18"/>
              </w:rPr>
              <w:t>.</w:t>
            </w:r>
            <w:r>
              <w:rPr>
                <w:rFonts w:ascii="Verdana" w:hAnsi="Verdana"/>
                <w:sz w:val="18"/>
                <w:szCs w:val="18"/>
              </w:rPr>
              <w:t>50 –</w:t>
            </w:r>
            <w:r w:rsidRPr="00681193">
              <w:rPr>
                <w:rFonts w:ascii="Verdana" w:hAnsi="Verdana"/>
                <w:sz w:val="18"/>
                <w:szCs w:val="18"/>
              </w:rPr>
              <w:t xml:space="preserve"> </w:t>
            </w:r>
            <w:r>
              <w:rPr>
                <w:rFonts w:ascii="Verdana" w:hAnsi="Verdana"/>
                <w:sz w:val="18"/>
                <w:szCs w:val="18"/>
              </w:rPr>
              <w:t>12:40</w:t>
            </w:r>
          </w:p>
        </w:tc>
        <w:tc>
          <w:tcPr>
            <w:tcW w:w="8460" w:type="dxa"/>
            <w:tcBorders>
              <w:top w:val="single" w:sz="2" w:space="0" w:color="000000"/>
              <w:bottom w:val="single" w:sz="2" w:space="0" w:color="000000"/>
            </w:tcBorders>
          </w:tcPr>
          <w:p w:rsidR="0008529F" w:rsidRPr="00BB02ED" w:rsidRDefault="0008529F" w:rsidP="0008529F">
            <w:pPr>
              <w:spacing w:before="120" w:after="120"/>
              <w:rPr>
                <w:rFonts w:ascii="Verdana" w:hAnsi="Verdana"/>
                <w:b/>
                <w:color w:val="000000"/>
                <w:sz w:val="18"/>
                <w:szCs w:val="18"/>
              </w:rPr>
            </w:pPr>
            <w:r w:rsidRPr="00BB02ED">
              <w:rPr>
                <w:rFonts w:ascii="Verdana" w:hAnsi="Verdana"/>
                <w:b/>
                <w:color w:val="000000"/>
                <w:sz w:val="18"/>
                <w:szCs w:val="18"/>
              </w:rPr>
              <w:t xml:space="preserve">IFRS 9 </w:t>
            </w:r>
            <w:r>
              <w:rPr>
                <w:rFonts w:ascii="Verdana" w:hAnsi="Verdana"/>
                <w:b/>
                <w:color w:val="000000"/>
                <w:sz w:val="18"/>
                <w:szCs w:val="18"/>
              </w:rPr>
              <w:t xml:space="preserve">Financial Instruments – </w:t>
            </w:r>
            <w:r w:rsidR="00084936">
              <w:rPr>
                <w:rFonts w:ascii="Verdana" w:hAnsi="Verdana"/>
                <w:b/>
                <w:color w:val="000000"/>
                <w:sz w:val="18"/>
                <w:szCs w:val="18"/>
              </w:rPr>
              <w:t>n</w:t>
            </w:r>
            <w:r>
              <w:rPr>
                <w:rFonts w:ascii="Verdana" w:hAnsi="Verdana"/>
                <w:b/>
                <w:color w:val="000000"/>
                <w:sz w:val="18"/>
                <w:szCs w:val="18"/>
              </w:rPr>
              <w:t>ow it has been adopted by the Code what do you need to do</w:t>
            </w:r>
            <w:r w:rsidR="00C72432">
              <w:rPr>
                <w:rFonts w:ascii="Verdana" w:hAnsi="Verdana"/>
                <w:b/>
                <w:color w:val="000000"/>
                <w:sz w:val="18"/>
                <w:szCs w:val="18"/>
              </w:rPr>
              <w:t>?</w:t>
            </w:r>
            <w:r>
              <w:rPr>
                <w:rFonts w:ascii="Verdana" w:hAnsi="Verdana"/>
                <w:b/>
                <w:color w:val="000000"/>
                <w:sz w:val="18"/>
                <w:szCs w:val="18"/>
              </w:rPr>
              <w:t xml:space="preserve">  </w:t>
            </w:r>
            <w:r w:rsidRPr="00BB02ED">
              <w:rPr>
                <w:rFonts w:ascii="Verdana" w:hAnsi="Verdana"/>
                <w:b/>
                <w:color w:val="000000"/>
                <w:sz w:val="18"/>
                <w:szCs w:val="18"/>
              </w:rPr>
              <w:t xml:space="preserve"> </w:t>
            </w:r>
          </w:p>
          <w:p w:rsidR="0008529F" w:rsidRPr="0008529F" w:rsidRDefault="0008529F" w:rsidP="0008529F">
            <w:pPr>
              <w:pStyle w:val="ListParagraph"/>
              <w:numPr>
                <w:ilvl w:val="0"/>
                <w:numId w:val="15"/>
              </w:numPr>
              <w:spacing w:before="120" w:after="120"/>
              <w:rPr>
                <w:rFonts w:ascii="Verdana" w:hAnsi="Verdana"/>
                <w:b/>
                <w:sz w:val="18"/>
                <w:szCs w:val="18"/>
              </w:rPr>
            </w:pPr>
            <w:r>
              <w:rPr>
                <w:rFonts w:ascii="Verdana" w:hAnsi="Verdana"/>
                <w:sz w:val="18"/>
                <w:szCs w:val="18"/>
              </w:rPr>
              <w:t>IFRS 9 the financial instrument standard is a complex standard</w:t>
            </w:r>
            <w:r w:rsidR="00C72432">
              <w:rPr>
                <w:rFonts w:ascii="Verdana" w:hAnsi="Verdana"/>
                <w:sz w:val="18"/>
                <w:szCs w:val="18"/>
              </w:rPr>
              <w:t xml:space="preserve"> which has been adopted by the 2018/19 Code</w:t>
            </w:r>
            <w:r>
              <w:rPr>
                <w:rFonts w:ascii="Verdana" w:hAnsi="Verdana"/>
                <w:sz w:val="18"/>
                <w:szCs w:val="18"/>
              </w:rPr>
              <w:t>.  This presentation will provide a route map to help you navigate through the complexities covering</w:t>
            </w:r>
          </w:p>
          <w:p w:rsidR="0008529F" w:rsidRPr="0008529F" w:rsidRDefault="003D7C25" w:rsidP="00C72432">
            <w:pPr>
              <w:pStyle w:val="ListParagraph"/>
              <w:numPr>
                <w:ilvl w:val="1"/>
                <w:numId w:val="22"/>
              </w:numPr>
              <w:spacing w:before="120" w:after="120"/>
              <w:ind w:left="1168" w:hanging="425"/>
              <w:rPr>
                <w:rFonts w:ascii="Verdana" w:hAnsi="Verdana"/>
                <w:b/>
                <w:sz w:val="18"/>
                <w:szCs w:val="18"/>
              </w:rPr>
            </w:pPr>
            <w:proofErr w:type="gramStart"/>
            <w:r>
              <w:rPr>
                <w:rFonts w:ascii="Verdana" w:hAnsi="Verdana"/>
                <w:sz w:val="18"/>
                <w:szCs w:val="18"/>
              </w:rPr>
              <w:t>how</w:t>
            </w:r>
            <w:proofErr w:type="gramEnd"/>
            <w:r>
              <w:rPr>
                <w:rFonts w:ascii="Verdana" w:hAnsi="Verdana"/>
                <w:sz w:val="18"/>
                <w:szCs w:val="18"/>
              </w:rPr>
              <w:t xml:space="preserve"> will the new classification model for financial assets impact on your financial statements</w:t>
            </w:r>
            <w:r w:rsidR="001204A9">
              <w:rPr>
                <w:rFonts w:ascii="Verdana" w:hAnsi="Verdana"/>
                <w:sz w:val="18"/>
                <w:szCs w:val="18"/>
              </w:rPr>
              <w:t>?</w:t>
            </w:r>
          </w:p>
          <w:p w:rsidR="0008529F" w:rsidRPr="00C72432" w:rsidRDefault="00084936" w:rsidP="00C72432">
            <w:pPr>
              <w:pStyle w:val="ListParagraph"/>
              <w:numPr>
                <w:ilvl w:val="1"/>
                <w:numId w:val="22"/>
              </w:numPr>
              <w:spacing w:before="120" w:after="120"/>
              <w:ind w:left="1168" w:hanging="425"/>
              <w:rPr>
                <w:rFonts w:ascii="Verdana" w:hAnsi="Verdana"/>
                <w:b/>
                <w:sz w:val="18"/>
                <w:szCs w:val="18"/>
              </w:rPr>
            </w:pPr>
            <w:proofErr w:type="gramStart"/>
            <w:r>
              <w:rPr>
                <w:rFonts w:ascii="Verdana" w:hAnsi="Verdana"/>
                <w:sz w:val="18"/>
                <w:szCs w:val="18"/>
              </w:rPr>
              <w:t>h</w:t>
            </w:r>
            <w:r w:rsidR="00C72432">
              <w:rPr>
                <w:rFonts w:ascii="Verdana" w:hAnsi="Verdana"/>
                <w:sz w:val="18"/>
                <w:szCs w:val="18"/>
              </w:rPr>
              <w:t>ow</w:t>
            </w:r>
            <w:proofErr w:type="gramEnd"/>
            <w:r w:rsidR="00C72432">
              <w:rPr>
                <w:rFonts w:ascii="Verdana" w:hAnsi="Verdana"/>
                <w:sz w:val="18"/>
                <w:szCs w:val="18"/>
              </w:rPr>
              <w:t xml:space="preserve"> to account for expected credit losses</w:t>
            </w:r>
            <w:r w:rsidR="001204A9">
              <w:rPr>
                <w:rFonts w:ascii="Verdana" w:hAnsi="Verdana"/>
                <w:sz w:val="18"/>
                <w:szCs w:val="18"/>
              </w:rPr>
              <w:t>?</w:t>
            </w:r>
          </w:p>
          <w:p w:rsidR="00C72432" w:rsidRPr="00C72432" w:rsidRDefault="003D7C25" w:rsidP="00C72432">
            <w:pPr>
              <w:pStyle w:val="ListParagraph"/>
              <w:numPr>
                <w:ilvl w:val="1"/>
                <w:numId w:val="22"/>
              </w:numPr>
              <w:spacing w:before="120" w:after="120"/>
              <w:ind w:left="1168" w:hanging="425"/>
              <w:rPr>
                <w:rFonts w:ascii="Verdana" w:hAnsi="Verdana"/>
                <w:sz w:val="18"/>
                <w:szCs w:val="18"/>
              </w:rPr>
            </w:pPr>
            <w:proofErr w:type="gramStart"/>
            <w:r>
              <w:rPr>
                <w:rFonts w:ascii="Verdana" w:hAnsi="Verdana"/>
                <w:sz w:val="18"/>
                <w:szCs w:val="18"/>
              </w:rPr>
              <w:t>what</w:t>
            </w:r>
            <w:proofErr w:type="gramEnd"/>
            <w:r>
              <w:rPr>
                <w:rFonts w:ascii="Verdana" w:hAnsi="Verdana"/>
                <w:sz w:val="18"/>
                <w:szCs w:val="18"/>
              </w:rPr>
              <w:t xml:space="preserve"> will the disclosures look like?</w:t>
            </w:r>
          </w:p>
          <w:p w:rsidR="00D3623C" w:rsidRPr="004D32DB" w:rsidRDefault="0008529F" w:rsidP="00690038">
            <w:pPr>
              <w:spacing w:before="120" w:after="120"/>
              <w:rPr>
                <w:rFonts w:ascii="Verdana" w:hAnsi="Verdana"/>
                <w:sz w:val="20"/>
                <w:szCs w:val="20"/>
              </w:rPr>
            </w:pPr>
            <w:r>
              <w:rPr>
                <w:rFonts w:ascii="Verdana" w:hAnsi="Verdana"/>
                <w:sz w:val="18"/>
                <w:szCs w:val="18"/>
              </w:rPr>
              <w:t xml:space="preserve">Speaker: </w:t>
            </w:r>
            <w:r w:rsidRPr="00084936">
              <w:rPr>
                <w:rFonts w:ascii="Verdana" w:hAnsi="Verdana"/>
                <w:b/>
                <w:i/>
                <w:sz w:val="18"/>
                <w:szCs w:val="18"/>
              </w:rPr>
              <w:t>Stephen Sheen, Independent Consultant</w:t>
            </w:r>
          </w:p>
        </w:tc>
      </w:tr>
      <w:tr w:rsidR="00D3623C" w:rsidRPr="00750251" w:rsidTr="006165F3">
        <w:trPr>
          <w:cantSplit/>
        </w:trPr>
        <w:tc>
          <w:tcPr>
            <w:tcW w:w="1843" w:type="dxa"/>
            <w:tcBorders>
              <w:top w:val="single" w:sz="2" w:space="0" w:color="000000"/>
              <w:bottom w:val="single" w:sz="2" w:space="0" w:color="000000"/>
            </w:tcBorders>
          </w:tcPr>
          <w:p w:rsidR="00D3623C" w:rsidRPr="00681193" w:rsidRDefault="00D3623C" w:rsidP="00BB02ED">
            <w:pPr>
              <w:spacing w:before="60" w:after="60"/>
              <w:rPr>
                <w:rFonts w:ascii="Verdana" w:hAnsi="Verdana"/>
                <w:sz w:val="18"/>
                <w:szCs w:val="18"/>
              </w:rPr>
            </w:pPr>
            <w:r>
              <w:rPr>
                <w:rFonts w:ascii="Verdana" w:hAnsi="Verdana"/>
                <w:sz w:val="18"/>
                <w:szCs w:val="18"/>
              </w:rPr>
              <w:t>12:40 - 13:40</w:t>
            </w:r>
          </w:p>
        </w:tc>
        <w:tc>
          <w:tcPr>
            <w:tcW w:w="8460" w:type="dxa"/>
            <w:tcBorders>
              <w:top w:val="single" w:sz="2" w:space="0" w:color="000000"/>
              <w:bottom w:val="single" w:sz="2" w:space="0" w:color="000000"/>
            </w:tcBorders>
          </w:tcPr>
          <w:p w:rsidR="00D3623C" w:rsidRPr="00DB64AF" w:rsidRDefault="00D3623C" w:rsidP="00BD63BA">
            <w:pPr>
              <w:spacing w:before="120" w:after="120"/>
              <w:rPr>
                <w:rFonts w:ascii="Verdana" w:hAnsi="Verdana"/>
                <w:sz w:val="18"/>
                <w:szCs w:val="18"/>
              </w:rPr>
            </w:pPr>
            <w:r w:rsidRPr="00DB64AF">
              <w:rPr>
                <w:rFonts w:ascii="Verdana" w:hAnsi="Verdana"/>
                <w:sz w:val="18"/>
                <w:szCs w:val="18"/>
              </w:rPr>
              <w:t>Lunch</w:t>
            </w:r>
          </w:p>
        </w:tc>
      </w:tr>
      <w:tr w:rsidR="0008529F" w:rsidRPr="00750251" w:rsidTr="006165F3">
        <w:trPr>
          <w:cantSplit/>
        </w:trPr>
        <w:tc>
          <w:tcPr>
            <w:tcW w:w="1843" w:type="dxa"/>
            <w:tcBorders>
              <w:top w:val="single" w:sz="2" w:space="0" w:color="000000"/>
              <w:bottom w:val="single" w:sz="2" w:space="0" w:color="000000"/>
            </w:tcBorders>
          </w:tcPr>
          <w:p w:rsidR="0008529F" w:rsidRPr="00750251" w:rsidRDefault="0008529F" w:rsidP="00C92202">
            <w:pPr>
              <w:spacing w:before="60" w:after="60"/>
              <w:rPr>
                <w:rFonts w:ascii="Verdana" w:hAnsi="Verdana"/>
                <w:sz w:val="18"/>
                <w:szCs w:val="18"/>
              </w:rPr>
            </w:pPr>
            <w:r w:rsidRPr="00750251">
              <w:rPr>
                <w:rFonts w:ascii="Verdana" w:hAnsi="Verdana"/>
                <w:sz w:val="18"/>
                <w:szCs w:val="18"/>
              </w:rPr>
              <w:lastRenderedPageBreak/>
              <w:t>1</w:t>
            </w:r>
            <w:r>
              <w:rPr>
                <w:rFonts w:ascii="Verdana" w:hAnsi="Verdana"/>
                <w:sz w:val="18"/>
                <w:szCs w:val="18"/>
              </w:rPr>
              <w:t>3</w:t>
            </w:r>
            <w:r w:rsidRPr="00750251">
              <w:rPr>
                <w:rFonts w:ascii="Verdana" w:hAnsi="Verdana"/>
                <w:sz w:val="18"/>
                <w:szCs w:val="18"/>
              </w:rPr>
              <w:t>:</w:t>
            </w:r>
            <w:r>
              <w:rPr>
                <w:rFonts w:ascii="Verdana" w:hAnsi="Verdana"/>
                <w:sz w:val="18"/>
                <w:szCs w:val="18"/>
              </w:rPr>
              <w:t xml:space="preserve">40 </w:t>
            </w:r>
            <w:r w:rsidRPr="00750251">
              <w:rPr>
                <w:rFonts w:ascii="Verdana" w:hAnsi="Verdana"/>
                <w:sz w:val="18"/>
                <w:szCs w:val="18"/>
              </w:rPr>
              <w:t>– 1</w:t>
            </w:r>
            <w:r>
              <w:rPr>
                <w:rFonts w:ascii="Verdana" w:hAnsi="Verdana"/>
                <w:sz w:val="18"/>
                <w:szCs w:val="18"/>
              </w:rPr>
              <w:t>4</w:t>
            </w:r>
            <w:r w:rsidRPr="00750251">
              <w:rPr>
                <w:rFonts w:ascii="Verdana" w:hAnsi="Verdana"/>
                <w:sz w:val="18"/>
                <w:szCs w:val="18"/>
              </w:rPr>
              <w:t>.</w:t>
            </w:r>
            <w:r>
              <w:rPr>
                <w:rFonts w:ascii="Verdana" w:hAnsi="Verdana"/>
                <w:sz w:val="18"/>
                <w:szCs w:val="18"/>
              </w:rPr>
              <w:t>15</w:t>
            </w:r>
          </w:p>
        </w:tc>
        <w:tc>
          <w:tcPr>
            <w:tcW w:w="8460" w:type="dxa"/>
            <w:tcBorders>
              <w:top w:val="single" w:sz="2" w:space="0" w:color="000000"/>
              <w:bottom w:val="single" w:sz="2" w:space="0" w:color="000000"/>
            </w:tcBorders>
          </w:tcPr>
          <w:p w:rsidR="00E461DF" w:rsidRDefault="00E461DF" w:rsidP="00E461DF">
            <w:pPr>
              <w:spacing w:before="120" w:after="120"/>
              <w:rPr>
                <w:rFonts w:ascii="Verdana" w:hAnsi="Verdana"/>
                <w:b/>
                <w:color w:val="000000"/>
                <w:sz w:val="18"/>
                <w:szCs w:val="18"/>
              </w:rPr>
            </w:pPr>
            <w:r>
              <w:rPr>
                <w:rFonts w:ascii="Verdana" w:hAnsi="Verdana"/>
                <w:b/>
                <w:color w:val="000000"/>
                <w:sz w:val="18"/>
                <w:szCs w:val="18"/>
              </w:rPr>
              <w:t>The CIPFA Codes: Past</w:t>
            </w:r>
            <w:r w:rsidR="001204A9">
              <w:rPr>
                <w:rFonts w:ascii="Verdana" w:hAnsi="Verdana"/>
                <w:b/>
                <w:color w:val="000000"/>
                <w:sz w:val="18"/>
                <w:szCs w:val="18"/>
              </w:rPr>
              <w:t>,</w:t>
            </w:r>
            <w:r>
              <w:rPr>
                <w:rFonts w:ascii="Verdana" w:hAnsi="Verdana"/>
                <w:b/>
                <w:color w:val="000000"/>
                <w:sz w:val="18"/>
                <w:szCs w:val="18"/>
              </w:rPr>
              <w:t xml:space="preserve"> Present and Future</w:t>
            </w:r>
          </w:p>
          <w:p w:rsidR="00E461DF" w:rsidRPr="00A4406E" w:rsidRDefault="00E461DF" w:rsidP="00E461DF">
            <w:pPr>
              <w:pStyle w:val="ListParagraph"/>
              <w:numPr>
                <w:ilvl w:val="0"/>
                <w:numId w:val="15"/>
              </w:numPr>
              <w:spacing w:before="120" w:after="120"/>
              <w:rPr>
                <w:rFonts w:ascii="Verdana" w:hAnsi="Verdana"/>
                <w:sz w:val="18"/>
                <w:szCs w:val="18"/>
              </w:rPr>
            </w:pPr>
            <w:r>
              <w:rPr>
                <w:rFonts w:ascii="Verdana" w:hAnsi="Verdana"/>
                <w:sz w:val="18"/>
                <w:szCs w:val="18"/>
              </w:rPr>
              <w:t xml:space="preserve">Both the Prudential Code for Capital Finance and the Treasury Management in the Public Services Code were updated in 2017.  This session offers a summary of the main changes including </w:t>
            </w:r>
            <w:r w:rsidRPr="00A4406E">
              <w:rPr>
                <w:rFonts w:ascii="Verdana" w:hAnsi="Verdana"/>
                <w:color w:val="000000"/>
                <w:sz w:val="18"/>
                <w:szCs w:val="18"/>
              </w:rPr>
              <w:t xml:space="preserve">the </w:t>
            </w:r>
            <w:r>
              <w:rPr>
                <w:rFonts w:ascii="Verdana" w:hAnsi="Verdana"/>
                <w:color w:val="000000"/>
                <w:sz w:val="18"/>
                <w:szCs w:val="18"/>
              </w:rPr>
              <w:t xml:space="preserve">new </w:t>
            </w:r>
            <w:r w:rsidRPr="00A4406E">
              <w:rPr>
                <w:rFonts w:ascii="Verdana" w:hAnsi="Verdana"/>
                <w:color w:val="000000"/>
                <w:sz w:val="18"/>
                <w:szCs w:val="18"/>
              </w:rPr>
              <w:t>capital strategy</w:t>
            </w:r>
            <w:r>
              <w:rPr>
                <w:rFonts w:ascii="Verdana" w:hAnsi="Verdana"/>
                <w:color w:val="000000"/>
                <w:sz w:val="18"/>
                <w:szCs w:val="18"/>
              </w:rPr>
              <w:t xml:space="preserve"> and timescale.</w:t>
            </w:r>
          </w:p>
          <w:p w:rsidR="00E461DF" w:rsidRDefault="00E461DF" w:rsidP="00E461DF">
            <w:pPr>
              <w:pStyle w:val="ListParagraph"/>
              <w:spacing w:before="120" w:after="120"/>
              <w:ind w:left="1440"/>
              <w:rPr>
                <w:rFonts w:ascii="Verdana" w:hAnsi="Verdana"/>
                <w:color w:val="000000"/>
                <w:sz w:val="18"/>
                <w:szCs w:val="18"/>
              </w:rPr>
            </w:pPr>
          </w:p>
          <w:p w:rsidR="00E461DF" w:rsidRDefault="00E461DF" w:rsidP="00E461DF">
            <w:pPr>
              <w:pStyle w:val="ListParagraph"/>
              <w:numPr>
                <w:ilvl w:val="0"/>
                <w:numId w:val="15"/>
              </w:numPr>
              <w:spacing w:before="120" w:after="120"/>
              <w:rPr>
                <w:rFonts w:ascii="Verdana" w:hAnsi="Verdana"/>
                <w:color w:val="000000"/>
                <w:sz w:val="18"/>
                <w:szCs w:val="18"/>
              </w:rPr>
            </w:pPr>
            <w:r>
              <w:rPr>
                <w:rFonts w:ascii="Verdana" w:hAnsi="Verdana"/>
                <w:color w:val="000000"/>
                <w:sz w:val="18"/>
                <w:szCs w:val="18"/>
              </w:rPr>
              <w:t>The session will also be an early opportunity to hear about the proposed innovative addition to CIPFA’s suite of professional Codes and what it will mean for local government.</w:t>
            </w:r>
          </w:p>
          <w:p w:rsidR="00E461DF" w:rsidRPr="00F9169F" w:rsidRDefault="00E461DF" w:rsidP="00E461DF">
            <w:pPr>
              <w:pStyle w:val="ListParagraph"/>
              <w:rPr>
                <w:rFonts w:ascii="Verdana" w:hAnsi="Verdana"/>
                <w:color w:val="000000"/>
                <w:sz w:val="18"/>
                <w:szCs w:val="18"/>
              </w:rPr>
            </w:pPr>
          </w:p>
          <w:p w:rsidR="0008529F" w:rsidRPr="004D32DB" w:rsidRDefault="0008529F" w:rsidP="00917D7E">
            <w:pPr>
              <w:pStyle w:val="ListParagraph"/>
              <w:spacing w:before="120" w:after="120"/>
              <w:ind w:left="435"/>
              <w:rPr>
                <w:rFonts w:ascii="Verdana" w:hAnsi="Verdana"/>
                <w:sz w:val="20"/>
                <w:szCs w:val="20"/>
              </w:rPr>
            </w:pPr>
            <w:r w:rsidRPr="00300E54">
              <w:rPr>
                <w:rFonts w:ascii="Verdana" w:hAnsi="Verdana"/>
                <w:sz w:val="18"/>
                <w:szCs w:val="18"/>
              </w:rPr>
              <w:t xml:space="preserve">Speaker: </w:t>
            </w:r>
            <w:r>
              <w:rPr>
                <w:rFonts w:ascii="Verdana" w:hAnsi="Verdana"/>
                <w:b/>
                <w:i/>
                <w:sz w:val="18"/>
                <w:szCs w:val="18"/>
              </w:rPr>
              <w:t>Don Peebles</w:t>
            </w:r>
            <w:r w:rsidRPr="00300E54">
              <w:rPr>
                <w:rFonts w:ascii="Verdana" w:hAnsi="Verdana"/>
                <w:b/>
                <w:i/>
                <w:sz w:val="18"/>
                <w:szCs w:val="18"/>
              </w:rPr>
              <w:t xml:space="preserve">, </w:t>
            </w:r>
            <w:r w:rsidRPr="0008529F">
              <w:rPr>
                <w:rFonts w:ascii="Verdana" w:eastAsia="Times New Roman" w:hAnsi="Verdana"/>
                <w:b/>
                <w:i/>
                <w:sz w:val="18"/>
                <w:szCs w:val="18"/>
              </w:rPr>
              <w:t>Head of CIPFA Policy &amp; Technical UK</w:t>
            </w:r>
          </w:p>
        </w:tc>
      </w:tr>
      <w:tr w:rsidR="0008529F" w:rsidRPr="00750251" w:rsidTr="006165F3">
        <w:trPr>
          <w:cantSplit/>
        </w:trPr>
        <w:tc>
          <w:tcPr>
            <w:tcW w:w="1843" w:type="dxa"/>
            <w:tcBorders>
              <w:top w:val="single" w:sz="2" w:space="0" w:color="000000"/>
              <w:bottom w:val="single" w:sz="2" w:space="0" w:color="000000"/>
            </w:tcBorders>
          </w:tcPr>
          <w:p w:rsidR="0008529F" w:rsidRPr="00750251" w:rsidRDefault="0008529F" w:rsidP="00C92202">
            <w:pPr>
              <w:spacing w:before="60" w:after="60"/>
              <w:rPr>
                <w:rFonts w:ascii="Verdana" w:hAnsi="Verdana"/>
                <w:sz w:val="18"/>
                <w:szCs w:val="18"/>
              </w:rPr>
            </w:pPr>
            <w:r w:rsidRPr="00750251">
              <w:rPr>
                <w:rFonts w:ascii="Verdana" w:hAnsi="Verdana"/>
                <w:sz w:val="18"/>
                <w:szCs w:val="18"/>
              </w:rPr>
              <w:t>1</w:t>
            </w:r>
            <w:r>
              <w:rPr>
                <w:rFonts w:ascii="Verdana" w:hAnsi="Verdana"/>
                <w:sz w:val="18"/>
                <w:szCs w:val="18"/>
              </w:rPr>
              <w:t>4</w:t>
            </w:r>
            <w:r w:rsidRPr="00750251">
              <w:rPr>
                <w:rFonts w:ascii="Verdana" w:hAnsi="Verdana"/>
                <w:sz w:val="18"/>
                <w:szCs w:val="18"/>
              </w:rPr>
              <w:t>:</w:t>
            </w:r>
            <w:r>
              <w:rPr>
                <w:rFonts w:ascii="Verdana" w:hAnsi="Verdana"/>
                <w:sz w:val="18"/>
                <w:szCs w:val="18"/>
              </w:rPr>
              <w:t xml:space="preserve">15 </w:t>
            </w:r>
            <w:r w:rsidRPr="00750251">
              <w:rPr>
                <w:rFonts w:ascii="Verdana" w:hAnsi="Verdana"/>
                <w:sz w:val="18"/>
                <w:szCs w:val="18"/>
              </w:rPr>
              <w:t>– 1</w:t>
            </w:r>
            <w:r>
              <w:rPr>
                <w:rFonts w:ascii="Verdana" w:hAnsi="Verdana"/>
                <w:sz w:val="18"/>
                <w:szCs w:val="18"/>
              </w:rPr>
              <w:t>4:50</w:t>
            </w:r>
          </w:p>
        </w:tc>
        <w:tc>
          <w:tcPr>
            <w:tcW w:w="8460" w:type="dxa"/>
            <w:tcBorders>
              <w:top w:val="single" w:sz="2" w:space="0" w:color="000000"/>
              <w:bottom w:val="single" w:sz="2" w:space="0" w:color="000000"/>
            </w:tcBorders>
          </w:tcPr>
          <w:p w:rsidR="0008529F" w:rsidRPr="00091C0A" w:rsidRDefault="0008529F" w:rsidP="007424BC">
            <w:pPr>
              <w:spacing w:before="120" w:after="120"/>
              <w:rPr>
                <w:rFonts w:ascii="Verdana" w:hAnsi="Verdana"/>
                <w:b/>
                <w:color w:val="000000"/>
                <w:sz w:val="18"/>
                <w:szCs w:val="18"/>
              </w:rPr>
            </w:pPr>
            <w:r w:rsidRPr="00091C0A">
              <w:rPr>
                <w:rFonts w:ascii="Verdana" w:hAnsi="Verdana"/>
                <w:b/>
                <w:color w:val="000000"/>
                <w:sz w:val="18"/>
                <w:szCs w:val="18"/>
              </w:rPr>
              <w:t xml:space="preserve">IFRS 16 Leases – </w:t>
            </w:r>
            <w:r>
              <w:rPr>
                <w:rFonts w:ascii="Verdana" w:hAnsi="Verdana"/>
                <w:b/>
                <w:color w:val="000000"/>
                <w:sz w:val="18"/>
                <w:szCs w:val="18"/>
              </w:rPr>
              <w:t xml:space="preserve">A detailed Analysis of the Approach to the Adoption of IFRS 16 and the </w:t>
            </w:r>
            <w:r w:rsidR="006317F5">
              <w:rPr>
                <w:rFonts w:ascii="Verdana" w:hAnsi="Verdana"/>
                <w:b/>
                <w:color w:val="000000"/>
                <w:sz w:val="18"/>
                <w:szCs w:val="18"/>
              </w:rPr>
              <w:t>P</w:t>
            </w:r>
            <w:r>
              <w:rPr>
                <w:rFonts w:ascii="Verdana" w:hAnsi="Verdana"/>
                <w:b/>
                <w:color w:val="000000"/>
                <w:sz w:val="18"/>
                <w:szCs w:val="18"/>
              </w:rPr>
              <w:t xml:space="preserve">ractical </w:t>
            </w:r>
            <w:r w:rsidR="006317F5">
              <w:rPr>
                <w:rFonts w:ascii="Verdana" w:hAnsi="Verdana"/>
                <w:b/>
                <w:color w:val="000000"/>
                <w:sz w:val="18"/>
                <w:szCs w:val="18"/>
              </w:rPr>
              <w:t>I</w:t>
            </w:r>
            <w:r>
              <w:rPr>
                <w:rFonts w:ascii="Verdana" w:hAnsi="Verdana"/>
                <w:b/>
                <w:color w:val="000000"/>
                <w:sz w:val="18"/>
                <w:szCs w:val="18"/>
              </w:rPr>
              <w:t xml:space="preserve">mpact </w:t>
            </w:r>
            <w:r w:rsidRPr="00091C0A">
              <w:rPr>
                <w:rFonts w:ascii="Verdana" w:hAnsi="Verdana"/>
                <w:b/>
                <w:color w:val="000000"/>
                <w:sz w:val="18"/>
                <w:szCs w:val="18"/>
              </w:rPr>
              <w:t xml:space="preserve"> </w:t>
            </w:r>
          </w:p>
          <w:p w:rsidR="003D7C25" w:rsidRDefault="003D7C25" w:rsidP="003D7C25">
            <w:pPr>
              <w:pStyle w:val="ListParagraph"/>
              <w:numPr>
                <w:ilvl w:val="0"/>
                <w:numId w:val="15"/>
              </w:numPr>
              <w:spacing w:before="120" w:after="120"/>
              <w:rPr>
                <w:rFonts w:ascii="Verdana" w:hAnsi="Verdana"/>
                <w:sz w:val="18"/>
                <w:szCs w:val="18"/>
              </w:rPr>
            </w:pPr>
            <w:r>
              <w:rPr>
                <w:rFonts w:ascii="Verdana" w:hAnsi="Verdana"/>
                <w:sz w:val="18"/>
                <w:szCs w:val="18"/>
              </w:rPr>
              <w:t>This presentation will set out the detailed issues</w:t>
            </w:r>
            <w:r w:rsidR="001204A9">
              <w:rPr>
                <w:rFonts w:ascii="Verdana" w:hAnsi="Verdana"/>
                <w:sz w:val="18"/>
                <w:szCs w:val="18"/>
              </w:rPr>
              <w:t xml:space="preserve"> considered by the</w:t>
            </w:r>
            <w:r>
              <w:rPr>
                <w:rFonts w:ascii="Verdana" w:hAnsi="Verdana"/>
                <w:sz w:val="18"/>
                <w:szCs w:val="18"/>
              </w:rPr>
              <w:t xml:space="preserve"> CIPFA/LASAAC sub group on leases supporting CIPFA/LASAAC in the development of the consultation paper and will</w:t>
            </w:r>
            <w:r w:rsidR="001204A9">
              <w:rPr>
                <w:rFonts w:ascii="Verdana" w:hAnsi="Verdana"/>
                <w:sz w:val="18"/>
                <w:szCs w:val="18"/>
              </w:rPr>
              <w:t xml:space="preserve"> cover</w:t>
            </w:r>
            <w:r>
              <w:rPr>
                <w:rFonts w:ascii="Verdana" w:hAnsi="Verdana"/>
                <w:sz w:val="18"/>
                <w:szCs w:val="18"/>
              </w:rPr>
              <w:t>:</w:t>
            </w:r>
          </w:p>
          <w:p w:rsidR="003D7C25" w:rsidRDefault="001204A9" w:rsidP="003D7C25">
            <w:pPr>
              <w:pStyle w:val="ListParagraph"/>
              <w:numPr>
                <w:ilvl w:val="1"/>
                <w:numId w:val="14"/>
              </w:numPr>
              <w:tabs>
                <w:tab w:val="left" w:pos="1168"/>
              </w:tabs>
              <w:spacing w:before="120" w:after="120"/>
              <w:ind w:left="1168" w:hanging="425"/>
              <w:rPr>
                <w:rFonts w:ascii="Verdana" w:hAnsi="Verdana"/>
                <w:sz w:val="18"/>
                <w:szCs w:val="18"/>
              </w:rPr>
            </w:pPr>
            <w:r>
              <w:rPr>
                <w:rFonts w:ascii="Verdana" w:hAnsi="Verdana"/>
                <w:sz w:val="18"/>
                <w:szCs w:val="18"/>
              </w:rPr>
              <w:t xml:space="preserve">the </w:t>
            </w:r>
            <w:r w:rsidR="003D7C25">
              <w:rPr>
                <w:rFonts w:ascii="Verdana" w:hAnsi="Verdana"/>
                <w:sz w:val="18"/>
                <w:szCs w:val="18"/>
              </w:rPr>
              <w:t>identification of the lease</w:t>
            </w:r>
          </w:p>
          <w:p w:rsidR="003D7C25" w:rsidRDefault="003D7C25" w:rsidP="003D7C25">
            <w:pPr>
              <w:pStyle w:val="ListParagraph"/>
              <w:numPr>
                <w:ilvl w:val="1"/>
                <w:numId w:val="14"/>
              </w:numPr>
              <w:tabs>
                <w:tab w:val="left" w:pos="1168"/>
              </w:tabs>
              <w:spacing w:before="120" w:after="120"/>
              <w:ind w:left="1168" w:hanging="425"/>
              <w:rPr>
                <w:rFonts w:ascii="Verdana" w:hAnsi="Verdana"/>
                <w:sz w:val="18"/>
                <w:szCs w:val="18"/>
              </w:rPr>
            </w:pPr>
            <w:r>
              <w:rPr>
                <w:rFonts w:ascii="Verdana" w:hAnsi="Verdana"/>
                <w:sz w:val="18"/>
                <w:szCs w:val="18"/>
              </w:rPr>
              <w:t>the treatment of low value and short life leases</w:t>
            </w:r>
          </w:p>
          <w:p w:rsidR="003D7C25" w:rsidRDefault="003D7C25" w:rsidP="003D7C25">
            <w:pPr>
              <w:pStyle w:val="ListParagraph"/>
              <w:numPr>
                <w:ilvl w:val="1"/>
                <w:numId w:val="14"/>
              </w:numPr>
              <w:tabs>
                <w:tab w:val="left" w:pos="1168"/>
              </w:tabs>
              <w:spacing w:before="120" w:after="120"/>
              <w:ind w:left="1168" w:hanging="425"/>
              <w:rPr>
                <w:rFonts w:ascii="Verdana" w:hAnsi="Verdana"/>
                <w:sz w:val="18"/>
                <w:szCs w:val="18"/>
              </w:rPr>
            </w:pPr>
            <w:r>
              <w:rPr>
                <w:rFonts w:ascii="Verdana" w:hAnsi="Verdana"/>
                <w:sz w:val="18"/>
                <w:szCs w:val="18"/>
              </w:rPr>
              <w:t>subsequent measurement of the right-of-use asset</w:t>
            </w:r>
          </w:p>
          <w:p w:rsidR="003D7C25" w:rsidRDefault="003D7C25" w:rsidP="003D7C25">
            <w:pPr>
              <w:pStyle w:val="ListParagraph"/>
              <w:numPr>
                <w:ilvl w:val="1"/>
                <w:numId w:val="14"/>
              </w:numPr>
              <w:tabs>
                <w:tab w:val="left" w:pos="1168"/>
              </w:tabs>
              <w:spacing w:before="120" w:after="120"/>
              <w:ind w:left="1168" w:hanging="425"/>
              <w:rPr>
                <w:rFonts w:ascii="Verdana" w:hAnsi="Verdana"/>
                <w:sz w:val="18"/>
                <w:szCs w:val="18"/>
              </w:rPr>
            </w:pPr>
            <w:r>
              <w:rPr>
                <w:rFonts w:ascii="Verdana" w:hAnsi="Verdana"/>
                <w:sz w:val="18"/>
                <w:szCs w:val="18"/>
              </w:rPr>
              <w:t>the capital financing implications</w:t>
            </w:r>
          </w:p>
          <w:p w:rsidR="003D7C25" w:rsidRDefault="003D7C25" w:rsidP="003D7C25">
            <w:pPr>
              <w:pStyle w:val="ListParagraph"/>
              <w:numPr>
                <w:ilvl w:val="1"/>
                <w:numId w:val="14"/>
              </w:numPr>
              <w:tabs>
                <w:tab w:val="left" w:pos="1168"/>
              </w:tabs>
              <w:spacing w:before="120" w:after="120"/>
              <w:ind w:left="1168" w:hanging="425"/>
              <w:rPr>
                <w:rFonts w:ascii="Verdana" w:hAnsi="Verdana"/>
                <w:sz w:val="18"/>
                <w:szCs w:val="18"/>
              </w:rPr>
            </w:pPr>
            <w:r>
              <w:rPr>
                <w:rFonts w:ascii="Verdana" w:hAnsi="Verdana"/>
                <w:sz w:val="18"/>
                <w:szCs w:val="18"/>
              </w:rPr>
              <w:t xml:space="preserve">the benefits of the changes </w:t>
            </w:r>
          </w:p>
          <w:p w:rsidR="003D7C25" w:rsidRDefault="003D7C25" w:rsidP="003D7C25">
            <w:pPr>
              <w:pStyle w:val="ListParagraph"/>
              <w:numPr>
                <w:ilvl w:val="1"/>
                <w:numId w:val="14"/>
              </w:numPr>
              <w:tabs>
                <w:tab w:val="left" w:pos="1168"/>
              </w:tabs>
              <w:spacing w:before="120" w:after="120"/>
              <w:ind w:left="1168" w:hanging="425"/>
              <w:rPr>
                <w:rFonts w:ascii="Verdana" w:hAnsi="Verdana"/>
                <w:sz w:val="18"/>
                <w:szCs w:val="18"/>
              </w:rPr>
            </w:pPr>
            <w:proofErr w:type="gramStart"/>
            <w:r>
              <w:rPr>
                <w:rFonts w:ascii="Verdana" w:hAnsi="Verdana"/>
                <w:sz w:val="18"/>
                <w:szCs w:val="18"/>
              </w:rPr>
              <w:t>consider</w:t>
            </w:r>
            <w:proofErr w:type="gramEnd"/>
            <w:r>
              <w:rPr>
                <w:rFonts w:ascii="Verdana" w:hAnsi="Verdana"/>
                <w:sz w:val="18"/>
                <w:szCs w:val="18"/>
              </w:rPr>
              <w:t xml:space="preserve"> the practical implications of the move. </w:t>
            </w:r>
          </w:p>
          <w:p w:rsidR="003D7C25" w:rsidRDefault="00690038" w:rsidP="003D7C25">
            <w:pPr>
              <w:pStyle w:val="ListParagraph"/>
              <w:numPr>
                <w:ilvl w:val="0"/>
                <w:numId w:val="14"/>
              </w:numPr>
              <w:spacing w:before="120" w:after="120"/>
              <w:rPr>
                <w:rFonts w:ascii="Verdana" w:hAnsi="Verdana"/>
                <w:sz w:val="18"/>
                <w:szCs w:val="18"/>
              </w:rPr>
            </w:pPr>
            <w:r w:rsidRPr="00403D34">
              <w:rPr>
                <w:rFonts w:ascii="Verdana" w:hAnsi="Verdana"/>
                <w:sz w:val="18"/>
                <w:szCs w:val="18"/>
              </w:rPr>
              <w:t xml:space="preserve">CIPFA has also initiated a formal impact assessment process for standard setting. This session will describe how CIPFA anticipates that these will work and focus on the impact assessment for adoption of IFRS 16. </w:t>
            </w:r>
            <w:r>
              <w:rPr>
                <w:rFonts w:ascii="Verdana" w:hAnsi="Verdana"/>
                <w:sz w:val="18"/>
                <w:szCs w:val="18"/>
              </w:rPr>
              <w:t>It</w:t>
            </w:r>
            <w:r w:rsidRPr="00403D34">
              <w:rPr>
                <w:rFonts w:ascii="Verdana" w:hAnsi="Verdana"/>
                <w:sz w:val="18"/>
                <w:szCs w:val="18"/>
              </w:rPr>
              <w:t xml:space="preserve"> will provide a detailed insight into the costs and benefits of adoption and will set out any early findings to give delegates a detailed understanding of how the standard will impact on them</w:t>
            </w:r>
            <w:r>
              <w:rPr>
                <w:rFonts w:ascii="Verdana" w:hAnsi="Verdana"/>
                <w:sz w:val="18"/>
                <w:szCs w:val="18"/>
              </w:rPr>
              <w:t>.</w:t>
            </w:r>
          </w:p>
          <w:p w:rsidR="00605080" w:rsidRDefault="00605080" w:rsidP="003D7C25">
            <w:pPr>
              <w:pStyle w:val="ListParagraph"/>
              <w:spacing w:before="120" w:after="120"/>
              <w:rPr>
                <w:rFonts w:ascii="Verdana" w:hAnsi="Verdana"/>
                <w:sz w:val="18"/>
                <w:szCs w:val="18"/>
              </w:rPr>
            </w:pPr>
            <w:r>
              <w:rPr>
                <w:rFonts w:ascii="Verdana" w:hAnsi="Verdana"/>
                <w:sz w:val="18"/>
                <w:szCs w:val="18"/>
              </w:rPr>
              <w:t xml:space="preserve"> </w:t>
            </w:r>
          </w:p>
          <w:p w:rsidR="0008529F" w:rsidRPr="00750251" w:rsidRDefault="0008529F" w:rsidP="006317F5">
            <w:pPr>
              <w:spacing w:before="120" w:after="120"/>
              <w:rPr>
                <w:rFonts w:ascii="Verdana" w:hAnsi="Verdana"/>
                <w:color w:val="000000"/>
                <w:sz w:val="18"/>
                <w:szCs w:val="18"/>
              </w:rPr>
            </w:pPr>
            <w:r>
              <w:rPr>
                <w:rFonts w:ascii="Verdana" w:hAnsi="Verdana"/>
                <w:sz w:val="18"/>
                <w:szCs w:val="18"/>
              </w:rPr>
              <w:t xml:space="preserve">Speakers:  </w:t>
            </w:r>
            <w:r w:rsidR="006317F5">
              <w:rPr>
                <w:rFonts w:ascii="Verdana" w:hAnsi="Verdana"/>
                <w:b/>
                <w:i/>
                <w:sz w:val="18"/>
                <w:szCs w:val="18"/>
              </w:rPr>
              <w:t>Sarah Sheen</w:t>
            </w:r>
            <w:r w:rsidR="00B92C8C">
              <w:rPr>
                <w:rFonts w:ascii="Verdana" w:hAnsi="Verdana"/>
                <w:b/>
                <w:i/>
                <w:sz w:val="18"/>
                <w:szCs w:val="18"/>
              </w:rPr>
              <w:t>, CIPFA Technical Manager and</w:t>
            </w:r>
            <w:r w:rsidR="006317F5">
              <w:rPr>
                <w:rFonts w:ascii="Verdana" w:hAnsi="Verdana"/>
                <w:b/>
                <w:i/>
                <w:sz w:val="18"/>
                <w:szCs w:val="18"/>
              </w:rPr>
              <w:t xml:space="preserve"> Chair of the CIPFA/LASAAC Sub Group on Leases</w:t>
            </w:r>
          </w:p>
        </w:tc>
      </w:tr>
      <w:tr w:rsidR="0008529F" w:rsidRPr="00750251" w:rsidTr="006165F3">
        <w:trPr>
          <w:cantSplit/>
        </w:trPr>
        <w:tc>
          <w:tcPr>
            <w:tcW w:w="1843" w:type="dxa"/>
            <w:tcBorders>
              <w:top w:val="single" w:sz="2" w:space="0" w:color="000000"/>
              <w:bottom w:val="single" w:sz="2" w:space="0" w:color="000000"/>
            </w:tcBorders>
          </w:tcPr>
          <w:p w:rsidR="0008529F" w:rsidRPr="00681193" w:rsidRDefault="0008529F" w:rsidP="00C92202">
            <w:pPr>
              <w:spacing w:before="60" w:after="60"/>
              <w:rPr>
                <w:rFonts w:ascii="Verdana" w:hAnsi="Verdana"/>
                <w:sz w:val="18"/>
                <w:szCs w:val="18"/>
              </w:rPr>
            </w:pPr>
            <w:r>
              <w:rPr>
                <w:rFonts w:ascii="Verdana" w:hAnsi="Verdana"/>
                <w:sz w:val="18"/>
                <w:szCs w:val="18"/>
              </w:rPr>
              <w:t>14:50 – 15.25</w:t>
            </w:r>
          </w:p>
        </w:tc>
        <w:tc>
          <w:tcPr>
            <w:tcW w:w="8460" w:type="dxa"/>
            <w:tcBorders>
              <w:top w:val="single" w:sz="2" w:space="0" w:color="000000"/>
              <w:bottom w:val="single" w:sz="2" w:space="0" w:color="000000"/>
            </w:tcBorders>
          </w:tcPr>
          <w:p w:rsidR="00605080" w:rsidRPr="003727C1" w:rsidRDefault="00605080" w:rsidP="00605080">
            <w:pPr>
              <w:spacing w:before="120" w:after="120"/>
              <w:rPr>
                <w:rFonts w:ascii="Verdana" w:hAnsi="Verdana"/>
                <w:b/>
                <w:sz w:val="18"/>
                <w:szCs w:val="18"/>
              </w:rPr>
            </w:pPr>
            <w:r w:rsidRPr="003727C1">
              <w:rPr>
                <w:rFonts w:ascii="Verdana" w:hAnsi="Verdana"/>
                <w:b/>
                <w:sz w:val="18"/>
                <w:szCs w:val="18"/>
              </w:rPr>
              <w:t xml:space="preserve">Whole of Government Accounts </w:t>
            </w:r>
          </w:p>
          <w:p w:rsidR="00605080" w:rsidRPr="00AE23A2" w:rsidRDefault="007D209B" w:rsidP="00605080">
            <w:pPr>
              <w:pStyle w:val="ListParagraph"/>
              <w:numPr>
                <w:ilvl w:val="0"/>
                <w:numId w:val="14"/>
              </w:numPr>
              <w:spacing w:before="120" w:after="120"/>
              <w:rPr>
                <w:rFonts w:ascii="Verdana" w:hAnsi="Verdana"/>
                <w:sz w:val="18"/>
                <w:szCs w:val="18"/>
              </w:rPr>
            </w:pPr>
            <w:r>
              <w:rPr>
                <w:rFonts w:ascii="Verdana" w:hAnsi="Verdana"/>
                <w:sz w:val="18"/>
                <w:szCs w:val="18"/>
              </w:rPr>
              <w:t>i</w:t>
            </w:r>
            <w:r w:rsidR="00605080" w:rsidRPr="00AE23A2">
              <w:rPr>
                <w:rFonts w:ascii="Verdana" w:hAnsi="Verdana"/>
                <w:sz w:val="18"/>
                <w:szCs w:val="18"/>
              </w:rPr>
              <w:t xml:space="preserve">mportant </w:t>
            </w:r>
            <w:r w:rsidR="00605080">
              <w:rPr>
                <w:rFonts w:ascii="Verdana" w:hAnsi="Verdana"/>
                <w:sz w:val="18"/>
                <w:szCs w:val="18"/>
              </w:rPr>
              <w:t>is</w:t>
            </w:r>
            <w:r w:rsidR="00605080" w:rsidRPr="00AE23A2">
              <w:rPr>
                <w:rFonts w:ascii="Verdana" w:hAnsi="Verdana"/>
                <w:sz w:val="18"/>
                <w:szCs w:val="18"/>
              </w:rPr>
              <w:t xml:space="preserve">sues for local authorities </w:t>
            </w:r>
          </w:p>
          <w:p w:rsidR="00A23599" w:rsidRDefault="007D209B" w:rsidP="00605080">
            <w:pPr>
              <w:pStyle w:val="ListParagraph"/>
              <w:numPr>
                <w:ilvl w:val="0"/>
                <w:numId w:val="14"/>
              </w:numPr>
              <w:spacing w:before="120" w:after="120"/>
              <w:rPr>
                <w:rFonts w:ascii="Verdana" w:hAnsi="Verdana"/>
                <w:sz w:val="20"/>
                <w:szCs w:val="20"/>
              </w:rPr>
            </w:pPr>
            <w:r>
              <w:rPr>
                <w:rFonts w:ascii="Verdana" w:hAnsi="Verdana"/>
                <w:sz w:val="18"/>
                <w:szCs w:val="18"/>
              </w:rPr>
              <w:t>fu</w:t>
            </w:r>
            <w:r w:rsidR="00605080" w:rsidRPr="00AE23A2">
              <w:rPr>
                <w:rFonts w:ascii="Verdana" w:hAnsi="Verdana"/>
                <w:sz w:val="18"/>
                <w:szCs w:val="18"/>
              </w:rPr>
              <w:t>ture changes and how this might impact on local authorities</w:t>
            </w:r>
            <w:r w:rsidR="00605080" w:rsidRPr="006E696D">
              <w:rPr>
                <w:rFonts w:ascii="Verdana" w:hAnsi="Verdana"/>
                <w:sz w:val="20"/>
                <w:szCs w:val="20"/>
              </w:rPr>
              <w:t xml:space="preserve"> </w:t>
            </w:r>
          </w:p>
          <w:p w:rsidR="001204A9" w:rsidRPr="001204A9" w:rsidRDefault="001204A9" w:rsidP="001204A9">
            <w:pPr>
              <w:pStyle w:val="ListParagraph"/>
              <w:numPr>
                <w:ilvl w:val="0"/>
                <w:numId w:val="14"/>
              </w:numPr>
              <w:rPr>
                <w:rFonts w:ascii="Verdana" w:hAnsi="Verdana"/>
                <w:sz w:val="20"/>
                <w:szCs w:val="20"/>
              </w:rPr>
            </w:pPr>
            <w:proofErr w:type="gramStart"/>
            <w:r w:rsidRPr="001204A9">
              <w:rPr>
                <w:rFonts w:ascii="Verdana" w:hAnsi="Verdana"/>
                <w:sz w:val="20"/>
                <w:szCs w:val="20"/>
              </w:rPr>
              <w:t>how</w:t>
            </w:r>
            <w:proofErr w:type="gramEnd"/>
            <w:r w:rsidRPr="001204A9">
              <w:rPr>
                <w:rFonts w:ascii="Verdana" w:hAnsi="Verdana"/>
                <w:sz w:val="20"/>
                <w:szCs w:val="20"/>
              </w:rPr>
              <w:t xml:space="preserve"> can the information in the WGA be used – what can it influence?</w:t>
            </w:r>
          </w:p>
          <w:p w:rsidR="0008529F" w:rsidRPr="00605080" w:rsidRDefault="00605080" w:rsidP="00605080">
            <w:pPr>
              <w:spacing w:before="120" w:after="120"/>
              <w:rPr>
                <w:rFonts w:ascii="Verdana" w:hAnsi="Verdana"/>
                <w:sz w:val="18"/>
                <w:szCs w:val="18"/>
              </w:rPr>
            </w:pPr>
            <w:r w:rsidRPr="00605080">
              <w:rPr>
                <w:rFonts w:ascii="Verdana" w:hAnsi="Verdana"/>
                <w:sz w:val="18"/>
                <w:szCs w:val="18"/>
              </w:rPr>
              <w:t>Speaker:</w:t>
            </w:r>
            <w:r w:rsidR="00960070">
              <w:rPr>
                <w:rFonts w:ascii="Verdana" w:hAnsi="Verdana"/>
                <w:sz w:val="18"/>
                <w:szCs w:val="18"/>
              </w:rPr>
              <w:t xml:space="preserve"> </w:t>
            </w:r>
            <w:r w:rsidR="00960070" w:rsidRPr="00960070">
              <w:rPr>
                <w:rFonts w:ascii="Verdana" w:hAnsi="Verdana"/>
                <w:b/>
                <w:sz w:val="18"/>
                <w:szCs w:val="18"/>
              </w:rPr>
              <w:t xml:space="preserve">Stella </w:t>
            </w:r>
            <w:proofErr w:type="spellStart"/>
            <w:r w:rsidR="00960070" w:rsidRPr="00960070">
              <w:rPr>
                <w:rFonts w:ascii="Verdana" w:hAnsi="Verdana"/>
                <w:b/>
                <w:sz w:val="18"/>
                <w:szCs w:val="18"/>
              </w:rPr>
              <w:t>Ezeogu</w:t>
            </w:r>
            <w:proofErr w:type="spellEnd"/>
            <w:r w:rsidR="00960070" w:rsidRPr="00960070">
              <w:rPr>
                <w:rFonts w:ascii="Verdana" w:hAnsi="Verdana"/>
                <w:b/>
                <w:sz w:val="18"/>
                <w:szCs w:val="18"/>
              </w:rPr>
              <w:t xml:space="preserve"> and Sally King</w:t>
            </w:r>
            <w:r w:rsidR="00960070">
              <w:rPr>
                <w:rFonts w:ascii="Verdana" w:hAnsi="Verdana"/>
                <w:sz w:val="18"/>
                <w:szCs w:val="18"/>
              </w:rPr>
              <w:t>,</w:t>
            </w:r>
            <w:r w:rsidRPr="00605080">
              <w:rPr>
                <w:rFonts w:ascii="Verdana" w:hAnsi="Verdana"/>
                <w:i/>
                <w:sz w:val="18"/>
                <w:szCs w:val="18"/>
              </w:rPr>
              <w:t xml:space="preserve"> </w:t>
            </w:r>
            <w:r w:rsidRPr="00605080">
              <w:rPr>
                <w:rFonts w:ascii="Verdana" w:hAnsi="Verdana"/>
                <w:b/>
                <w:i/>
                <w:color w:val="000000"/>
                <w:sz w:val="18"/>
                <w:szCs w:val="18"/>
              </w:rPr>
              <w:t>HM Treasury</w:t>
            </w:r>
            <w:r w:rsidR="007D209B">
              <w:rPr>
                <w:rFonts w:ascii="Verdana" w:hAnsi="Verdana"/>
                <w:b/>
                <w:i/>
                <w:color w:val="000000"/>
                <w:sz w:val="18"/>
                <w:szCs w:val="18"/>
              </w:rPr>
              <w:t>,</w:t>
            </w:r>
            <w:r w:rsidRPr="00605080">
              <w:rPr>
                <w:rFonts w:ascii="Verdana" w:hAnsi="Verdana"/>
                <w:b/>
                <w:i/>
                <w:color w:val="000000"/>
                <w:sz w:val="18"/>
                <w:szCs w:val="18"/>
              </w:rPr>
              <w:t xml:space="preserve"> Whole of Government Accounts Team, </w:t>
            </w:r>
            <w:r>
              <w:rPr>
                <w:rFonts w:ascii="Verdana" w:hAnsi="Verdana"/>
                <w:b/>
                <w:i/>
                <w:color w:val="000000"/>
                <w:sz w:val="18"/>
                <w:szCs w:val="18"/>
              </w:rPr>
              <w:t>TBC</w:t>
            </w:r>
            <w:bookmarkStart w:id="0" w:name="_GoBack"/>
            <w:bookmarkEnd w:id="0"/>
          </w:p>
          <w:p w:rsidR="0008529F" w:rsidRPr="001F7266" w:rsidRDefault="0008529F" w:rsidP="00605080">
            <w:pPr>
              <w:rPr>
                <w:rFonts w:ascii="Verdana" w:hAnsi="Verdana"/>
                <w:sz w:val="18"/>
                <w:szCs w:val="18"/>
              </w:rPr>
            </w:pPr>
          </w:p>
        </w:tc>
      </w:tr>
      <w:tr w:rsidR="0008529F" w:rsidRPr="00750251" w:rsidTr="006165F3">
        <w:trPr>
          <w:cantSplit/>
        </w:trPr>
        <w:tc>
          <w:tcPr>
            <w:tcW w:w="1843" w:type="dxa"/>
            <w:tcBorders>
              <w:top w:val="single" w:sz="2" w:space="0" w:color="000000"/>
              <w:bottom w:val="single" w:sz="2" w:space="0" w:color="000000"/>
            </w:tcBorders>
          </w:tcPr>
          <w:p w:rsidR="0008529F" w:rsidRPr="00681193" w:rsidRDefault="0008529F" w:rsidP="00500693">
            <w:pPr>
              <w:spacing w:before="60" w:after="60"/>
              <w:rPr>
                <w:rFonts w:ascii="Verdana" w:hAnsi="Verdana"/>
                <w:sz w:val="18"/>
                <w:szCs w:val="18"/>
              </w:rPr>
            </w:pPr>
            <w:r>
              <w:rPr>
                <w:rFonts w:ascii="Verdana" w:hAnsi="Verdana"/>
                <w:sz w:val="18"/>
                <w:szCs w:val="18"/>
              </w:rPr>
              <w:t>15:25 – 15.40</w:t>
            </w:r>
          </w:p>
        </w:tc>
        <w:tc>
          <w:tcPr>
            <w:tcW w:w="8460" w:type="dxa"/>
            <w:tcBorders>
              <w:top w:val="single" w:sz="2" w:space="0" w:color="000000"/>
              <w:bottom w:val="single" w:sz="2" w:space="0" w:color="000000"/>
            </w:tcBorders>
          </w:tcPr>
          <w:p w:rsidR="0008529F" w:rsidRPr="00DB64AF" w:rsidRDefault="0008529F" w:rsidP="00DA0F45">
            <w:pPr>
              <w:spacing w:before="120" w:after="120"/>
              <w:rPr>
                <w:rFonts w:ascii="Verdana" w:hAnsi="Verdana"/>
                <w:sz w:val="18"/>
                <w:szCs w:val="18"/>
              </w:rPr>
            </w:pPr>
            <w:r w:rsidRPr="001F7266">
              <w:rPr>
                <w:rFonts w:ascii="Verdana" w:hAnsi="Verdana"/>
                <w:sz w:val="18"/>
                <w:szCs w:val="18"/>
              </w:rPr>
              <w:t>Refreshment</w:t>
            </w:r>
            <w:r>
              <w:rPr>
                <w:rFonts w:ascii="Verdana" w:hAnsi="Verdana"/>
                <w:sz w:val="18"/>
                <w:szCs w:val="18"/>
              </w:rPr>
              <w:t xml:space="preserve"> break</w:t>
            </w:r>
          </w:p>
        </w:tc>
      </w:tr>
      <w:tr w:rsidR="0008529F" w:rsidRPr="00170719" w:rsidTr="006165F3">
        <w:trPr>
          <w:cantSplit/>
        </w:trPr>
        <w:tc>
          <w:tcPr>
            <w:tcW w:w="1843" w:type="dxa"/>
            <w:tcBorders>
              <w:top w:val="single" w:sz="2" w:space="0" w:color="000000"/>
              <w:bottom w:val="single" w:sz="2" w:space="0" w:color="000000"/>
            </w:tcBorders>
          </w:tcPr>
          <w:p w:rsidR="0008529F" w:rsidRPr="00750251" w:rsidRDefault="0008529F" w:rsidP="00500693">
            <w:pPr>
              <w:spacing w:before="60" w:after="60"/>
              <w:rPr>
                <w:rFonts w:ascii="Verdana" w:hAnsi="Verdana"/>
                <w:sz w:val="18"/>
                <w:szCs w:val="18"/>
              </w:rPr>
            </w:pPr>
            <w:r>
              <w:rPr>
                <w:rFonts w:ascii="Verdana" w:hAnsi="Verdana"/>
                <w:sz w:val="18"/>
                <w:szCs w:val="18"/>
              </w:rPr>
              <w:t>15:40 – 16:20</w:t>
            </w:r>
          </w:p>
        </w:tc>
        <w:tc>
          <w:tcPr>
            <w:tcW w:w="8460" w:type="dxa"/>
            <w:tcBorders>
              <w:top w:val="single" w:sz="2" w:space="0" w:color="000000"/>
              <w:bottom w:val="single" w:sz="2" w:space="0" w:color="000000"/>
            </w:tcBorders>
          </w:tcPr>
          <w:p w:rsidR="006D6C9F" w:rsidRPr="00DC219A" w:rsidRDefault="006D6C9F" w:rsidP="006D6C9F">
            <w:pPr>
              <w:spacing w:before="120" w:after="120"/>
              <w:rPr>
                <w:rFonts w:ascii="Verdana" w:hAnsi="Verdana"/>
                <w:b/>
                <w:sz w:val="20"/>
                <w:szCs w:val="20"/>
              </w:rPr>
            </w:pPr>
            <w:r w:rsidRPr="00DC219A">
              <w:rPr>
                <w:rFonts w:ascii="Verdana" w:hAnsi="Verdana"/>
                <w:b/>
                <w:sz w:val="20"/>
                <w:szCs w:val="20"/>
              </w:rPr>
              <w:t>Faster Closing</w:t>
            </w:r>
            <w:r w:rsidRPr="00DC219A">
              <w:rPr>
                <w:rFonts w:ascii="Verdana" w:hAnsi="Verdana"/>
                <w:sz w:val="20"/>
                <w:szCs w:val="20"/>
              </w:rPr>
              <w:t xml:space="preserve"> </w:t>
            </w:r>
            <w:r w:rsidRPr="00DC219A">
              <w:rPr>
                <w:rFonts w:ascii="Verdana" w:hAnsi="Verdana"/>
                <w:b/>
                <w:sz w:val="20"/>
                <w:szCs w:val="20"/>
              </w:rPr>
              <w:t>of local authority financial statements</w:t>
            </w:r>
          </w:p>
          <w:p w:rsidR="006D6C9F" w:rsidRDefault="006D6C9F" w:rsidP="006D6C9F">
            <w:pPr>
              <w:spacing w:before="120" w:after="120"/>
              <w:rPr>
                <w:rFonts w:ascii="Verdana" w:hAnsi="Verdana"/>
                <w:sz w:val="18"/>
                <w:szCs w:val="18"/>
              </w:rPr>
            </w:pPr>
            <w:r>
              <w:rPr>
                <w:rFonts w:ascii="Verdana" w:hAnsi="Verdana"/>
                <w:sz w:val="18"/>
                <w:szCs w:val="18"/>
              </w:rPr>
              <w:t>To assist you with meeting the earlier closedown agenda, a FAN adviser and a local authority practitioner will set out the key steps that authorities may wish to consider, based on the experiences of other authorities so far, in moving their financial statements closing timetables forward.</w:t>
            </w:r>
          </w:p>
          <w:p w:rsidR="006D6C9F" w:rsidRPr="00EA61E6" w:rsidRDefault="006D6C9F" w:rsidP="006D6C9F">
            <w:pPr>
              <w:spacing w:before="120" w:after="120"/>
              <w:rPr>
                <w:rFonts w:ascii="Verdana" w:hAnsi="Verdana"/>
                <w:b/>
                <w:i/>
                <w:sz w:val="20"/>
                <w:szCs w:val="20"/>
              </w:rPr>
            </w:pPr>
            <w:r>
              <w:rPr>
                <w:rFonts w:ascii="Verdana" w:hAnsi="Verdana"/>
                <w:i/>
                <w:sz w:val="20"/>
                <w:szCs w:val="20"/>
              </w:rPr>
              <w:t xml:space="preserve">Speakers: </w:t>
            </w:r>
            <w:r w:rsidRPr="00EA61E6">
              <w:rPr>
                <w:rFonts w:ascii="Verdana" w:hAnsi="Verdana"/>
                <w:b/>
                <w:i/>
                <w:sz w:val="20"/>
                <w:szCs w:val="20"/>
              </w:rPr>
              <w:t>FAN Advisers and local authority TBC</w:t>
            </w:r>
          </w:p>
          <w:p w:rsidR="00605080" w:rsidRPr="00E86974" w:rsidRDefault="00605080" w:rsidP="0008529F">
            <w:pPr>
              <w:spacing w:before="120" w:after="120"/>
              <w:rPr>
                <w:rFonts w:ascii="Verdana" w:hAnsi="Verdana"/>
                <w:b/>
                <w:sz w:val="18"/>
                <w:szCs w:val="18"/>
              </w:rPr>
            </w:pPr>
          </w:p>
        </w:tc>
      </w:tr>
      <w:tr w:rsidR="0008529F" w:rsidRPr="00750251" w:rsidTr="006165F3">
        <w:trPr>
          <w:cantSplit/>
        </w:trPr>
        <w:tc>
          <w:tcPr>
            <w:tcW w:w="1843" w:type="dxa"/>
            <w:tcBorders>
              <w:top w:val="single" w:sz="2" w:space="0" w:color="000000"/>
              <w:bottom w:val="single" w:sz="2" w:space="0" w:color="000000"/>
            </w:tcBorders>
          </w:tcPr>
          <w:p w:rsidR="0008529F" w:rsidRPr="00750251" w:rsidRDefault="0008529F" w:rsidP="00500693">
            <w:pPr>
              <w:spacing w:before="60" w:after="60"/>
              <w:rPr>
                <w:rFonts w:ascii="Verdana" w:hAnsi="Verdana"/>
                <w:sz w:val="18"/>
                <w:szCs w:val="18"/>
              </w:rPr>
            </w:pPr>
            <w:r>
              <w:rPr>
                <w:rFonts w:ascii="Verdana" w:hAnsi="Verdana"/>
                <w:sz w:val="18"/>
                <w:szCs w:val="18"/>
              </w:rPr>
              <w:t>16:20 -16:30</w:t>
            </w:r>
          </w:p>
        </w:tc>
        <w:tc>
          <w:tcPr>
            <w:tcW w:w="8460" w:type="dxa"/>
            <w:tcBorders>
              <w:top w:val="single" w:sz="2" w:space="0" w:color="000000"/>
              <w:bottom w:val="single" w:sz="2" w:space="0" w:color="000000"/>
            </w:tcBorders>
          </w:tcPr>
          <w:p w:rsidR="0008529F" w:rsidRPr="00750251" w:rsidRDefault="0008529F" w:rsidP="00007833">
            <w:pPr>
              <w:spacing w:before="120" w:after="120"/>
              <w:rPr>
                <w:rFonts w:ascii="Verdana" w:hAnsi="Verdana"/>
                <w:i/>
                <w:sz w:val="18"/>
                <w:szCs w:val="18"/>
              </w:rPr>
            </w:pPr>
            <w:r w:rsidRPr="00750251">
              <w:rPr>
                <w:rFonts w:ascii="Verdana" w:hAnsi="Verdana"/>
                <w:b/>
                <w:sz w:val="18"/>
                <w:szCs w:val="18"/>
              </w:rPr>
              <w:t>Chair’s Summary</w:t>
            </w:r>
          </w:p>
        </w:tc>
      </w:tr>
      <w:tr w:rsidR="0008529F" w:rsidRPr="00750251" w:rsidTr="006165F3">
        <w:trPr>
          <w:cantSplit/>
        </w:trPr>
        <w:tc>
          <w:tcPr>
            <w:tcW w:w="1843" w:type="dxa"/>
            <w:tcBorders>
              <w:top w:val="single" w:sz="2" w:space="0" w:color="000000"/>
              <w:bottom w:val="single" w:sz="2" w:space="0" w:color="000000"/>
            </w:tcBorders>
          </w:tcPr>
          <w:p w:rsidR="0008529F" w:rsidRPr="00750251" w:rsidRDefault="0008529F" w:rsidP="00500693">
            <w:pPr>
              <w:spacing w:beforeLines="60" w:before="144" w:after="60"/>
              <w:rPr>
                <w:rFonts w:ascii="Verdana" w:hAnsi="Verdana"/>
                <w:sz w:val="18"/>
                <w:szCs w:val="18"/>
              </w:rPr>
            </w:pPr>
            <w:r>
              <w:rPr>
                <w:rFonts w:ascii="Verdana" w:hAnsi="Verdana"/>
                <w:sz w:val="18"/>
                <w:szCs w:val="18"/>
              </w:rPr>
              <w:t>16:30</w:t>
            </w:r>
          </w:p>
        </w:tc>
        <w:tc>
          <w:tcPr>
            <w:tcW w:w="8460" w:type="dxa"/>
            <w:tcBorders>
              <w:top w:val="single" w:sz="2" w:space="0" w:color="000000"/>
              <w:bottom w:val="single" w:sz="2" w:space="0" w:color="000000"/>
            </w:tcBorders>
          </w:tcPr>
          <w:p w:rsidR="0008529F" w:rsidRPr="00750251" w:rsidRDefault="0008529F" w:rsidP="00AC5066">
            <w:pPr>
              <w:spacing w:before="120" w:after="120"/>
              <w:rPr>
                <w:rFonts w:ascii="Verdana" w:hAnsi="Verdana"/>
                <w:b/>
                <w:sz w:val="18"/>
                <w:szCs w:val="18"/>
              </w:rPr>
            </w:pPr>
            <w:r w:rsidRPr="00750251">
              <w:rPr>
                <w:rFonts w:ascii="Verdana" w:hAnsi="Verdana"/>
                <w:b/>
                <w:sz w:val="18"/>
                <w:szCs w:val="18"/>
              </w:rPr>
              <w:t>Close</w:t>
            </w:r>
          </w:p>
        </w:tc>
      </w:tr>
    </w:tbl>
    <w:p w:rsidR="00E34FAD" w:rsidRPr="00750251" w:rsidRDefault="00E34FAD">
      <w:pPr>
        <w:ind w:left="-1080" w:right="-1234"/>
        <w:jc w:val="center"/>
        <w:outlineLvl w:val="0"/>
        <w:rPr>
          <w:rFonts w:ascii="Verdana" w:hAnsi="Verdana"/>
          <w:i/>
          <w:sz w:val="18"/>
          <w:szCs w:val="18"/>
        </w:rPr>
      </w:pPr>
    </w:p>
    <w:p w:rsidR="00B31C3F" w:rsidRPr="00750251" w:rsidRDefault="00B31C3F">
      <w:pPr>
        <w:ind w:left="-1080" w:right="-1234"/>
        <w:jc w:val="center"/>
        <w:outlineLvl w:val="0"/>
        <w:rPr>
          <w:rFonts w:ascii="Verdana" w:hAnsi="Verdana"/>
          <w:i/>
          <w:sz w:val="18"/>
          <w:szCs w:val="18"/>
        </w:rPr>
      </w:pPr>
    </w:p>
    <w:sectPr w:rsidR="00B31C3F" w:rsidRPr="00750251">
      <w:headerReference w:type="even" r:id="rId7"/>
      <w:headerReference w:type="default" r:id="rId8"/>
      <w:footerReference w:type="even" r:id="rId9"/>
      <w:footerReference w:type="default" r:id="rId10"/>
      <w:headerReference w:type="first" r:id="rId11"/>
      <w:footerReference w:type="first" r:id="rId12"/>
      <w:pgSz w:w="11906" w:h="16838"/>
      <w:pgMar w:top="720" w:right="1797" w:bottom="1077" w:left="1797"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86F" w:rsidRDefault="0023086F">
      <w:r>
        <w:separator/>
      </w:r>
    </w:p>
  </w:endnote>
  <w:endnote w:type="continuationSeparator" w:id="0">
    <w:p w:rsidR="0023086F" w:rsidRDefault="0023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Century Gothic"/>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868" w:rsidRDefault="00B728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46" w:rsidRDefault="00F31C46">
    <w:pPr>
      <w:pStyle w:val="Footer"/>
      <w:jc w:val="center"/>
      <w:rPr>
        <w:rFonts w:ascii="Verdana" w:hAnsi="Verdana"/>
        <w:sz w:val="20"/>
      </w:rPr>
    </w:pPr>
    <w:r>
      <w:rPr>
        <w:rFonts w:ascii="Verdana" w:hAnsi="Verdana"/>
        <w:sz w:val="20"/>
      </w:rPr>
      <w:t>www.cipfa.org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868" w:rsidRDefault="00B728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86F" w:rsidRDefault="0023086F">
      <w:r>
        <w:separator/>
      </w:r>
    </w:p>
  </w:footnote>
  <w:footnote w:type="continuationSeparator" w:id="0">
    <w:p w:rsidR="0023086F" w:rsidRDefault="00230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868" w:rsidRDefault="00B72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46" w:rsidRDefault="00F31C46">
    <w:pPr>
      <w:pStyle w:val="Header"/>
      <w:ind w:left="-18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46" w:rsidRDefault="00F31C46">
    <w:pPr>
      <w:pStyle w:val="Header"/>
      <w:ind w:left="-1797"/>
    </w:pPr>
    <w:r>
      <w:rPr>
        <w:noProof/>
        <w:lang w:eastAsia="en-GB"/>
      </w:rPr>
      <w:drawing>
        <wp:inline distT="0" distB="0" distL="0" distR="0" wp14:anchorId="7B8278E0" wp14:editId="57641186">
          <wp:extent cx="7556500" cy="1285240"/>
          <wp:effectExtent l="0" t="0" r="6350" b="0"/>
          <wp:docPr id="2" name="Picture 2" descr="CIPFA Letterhead_09_Per#4A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IPFA Letterhead_09_Per#4A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2852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DB4A1F6"/>
    <w:lvl w:ilvl="0">
      <w:numFmt w:val="bullet"/>
      <w:lvlText w:val="*"/>
      <w:lvlJc w:val="left"/>
    </w:lvl>
  </w:abstractNum>
  <w:abstractNum w:abstractNumId="1" w15:restartNumberingAfterBreak="0">
    <w:nsid w:val="073F3150"/>
    <w:multiLevelType w:val="hybridMultilevel"/>
    <w:tmpl w:val="281E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F0768"/>
    <w:multiLevelType w:val="hybridMultilevel"/>
    <w:tmpl w:val="9DE87C38"/>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3" w15:restartNumberingAfterBreak="0">
    <w:nsid w:val="1E8219F5"/>
    <w:multiLevelType w:val="hybridMultilevel"/>
    <w:tmpl w:val="0A4C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B7312"/>
    <w:multiLevelType w:val="hybridMultilevel"/>
    <w:tmpl w:val="AD16D29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2ECB70C2"/>
    <w:multiLevelType w:val="hybridMultilevel"/>
    <w:tmpl w:val="200E3DE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32D97726"/>
    <w:multiLevelType w:val="hybridMultilevel"/>
    <w:tmpl w:val="98EAB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878FA"/>
    <w:multiLevelType w:val="hybridMultilevel"/>
    <w:tmpl w:val="BAC6D932"/>
    <w:lvl w:ilvl="0" w:tplc="08090005">
      <w:start w:val="1"/>
      <w:numFmt w:val="bullet"/>
      <w:lvlText w:val=""/>
      <w:lvlJc w:val="left"/>
      <w:pPr>
        <w:ind w:left="720" w:hanging="360"/>
      </w:pPr>
      <w:rPr>
        <w:rFonts w:ascii="Wingdings" w:hAnsi="Wingdings" w:hint="default"/>
      </w:rPr>
    </w:lvl>
    <w:lvl w:ilvl="1" w:tplc="C818B9E2">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629F1"/>
    <w:multiLevelType w:val="hybridMultilevel"/>
    <w:tmpl w:val="588C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D5817"/>
    <w:multiLevelType w:val="hybridMultilevel"/>
    <w:tmpl w:val="51D8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22528"/>
    <w:multiLevelType w:val="hybridMultilevel"/>
    <w:tmpl w:val="3B6C22F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862DE0"/>
    <w:multiLevelType w:val="hybridMultilevel"/>
    <w:tmpl w:val="399A1C60"/>
    <w:lvl w:ilvl="0" w:tplc="08090001">
      <w:start w:val="1"/>
      <w:numFmt w:val="bullet"/>
      <w:lvlText w:val=""/>
      <w:lvlJc w:val="left"/>
      <w:pPr>
        <w:ind w:left="405" w:hanging="360"/>
      </w:pPr>
      <w:rPr>
        <w:rFonts w:ascii="Symbol" w:hAnsi="Symbol"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4E973198"/>
    <w:multiLevelType w:val="hybridMultilevel"/>
    <w:tmpl w:val="82BA8184"/>
    <w:lvl w:ilvl="0" w:tplc="FE325B5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853FDE"/>
    <w:multiLevelType w:val="hybridMultilevel"/>
    <w:tmpl w:val="BAFAA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9060E4"/>
    <w:multiLevelType w:val="hybridMultilevel"/>
    <w:tmpl w:val="8B90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9B5F32"/>
    <w:multiLevelType w:val="hybridMultilevel"/>
    <w:tmpl w:val="7534BD40"/>
    <w:lvl w:ilvl="0" w:tplc="08090005">
      <w:start w:val="1"/>
      <w:numFmt w:val="bullet"/>
      <w:lvlText w:val=""/>
      <w:lvlJc w:val="left"/>
      <w:pPr>
        <w:ind w:left="720" w:hanging="360"/>
      </w:pPr>
      <w:rPr>
        <w:rFonts w:ascii="Wingdings" w:hAnsi="Wingdings" w:hint="default"/>
      </w:rPr>
    </w:lvl>
    <w:lvl w:ilvl="1" w:tplc="A20893C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186E30"/>
    <w:multiLevelType w:val="hybridMultilevel"/>
    <w:tmpl w:val="E014E2B2"/>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17" w15:restartNumberingAfterBreak="0">
    <w:nsid w:val="58394A35"/>
    <w:multiLevelType w:val="hybridMultilevel"/>
    <w:tmpl w:val="3FF04BF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5E0536AB"/>
    <w:multiLevelType w:val="hybridMultilevel"/>
    <w:tmpl w:val="1966AA1A"/>
    <w:lvl w:ilvl="0" w:tplc="FE325B5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450711"/>
    <w:multiLevelType w:val="hybridMultilevel"/>
    <w:tmpl w:val="BC4A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8130D6"/>
    <w:multiLevelType w:val="hybridMultilevel"/>
    <w:tmpl w:val="6AE665D8"/>
    <w:lvl w:ilvl="0" w:tplc="FE325B5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611800"/>
    <w:multiLevelType w:val="multilevel"/>
    <w:tmpl w:val="C10A1662"/>
    <w:lvl w:ilvl="0">
      <w:start w:val="16"/>
      <w:numFmt w:val="decimal"/>
      <w:lvlText w:val="%1.0"/>
      <w:lvlJc w:val="left"/>
      <w:pPr>
        <w:tabs>
          <w:tab w:val="num" w:pos="1080"/>
        </w:tabs>
        <w:ind w:left="1080" w:hanging="1080"/>
      </w:pPr>
      <w:rPr>
        <w:rFonts w:hint="default"/>
      </w:rPr>
    </w:lvl>
    <w:lvl w:ilvl="1">
      <w:start w:val="1"/>
      <w:numFmt w:val="decimalZero"/>
      <w:lvlText w:val="%1.%2"/>
      <w:lvlJc w:val="left"/>
      <w:pPr>
        <w:tabs>
          <w:tab w:val="num" w:pos="1800"/>
        </w:tabs>
        <w:ind w:left="1800" w:hanging="108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7A207BBF"/>
    <w:multiLevelType w:val="hybridMultilevel"/>
    <w:tmpl w:val="40DC8E8E"/>
    <w:lvl w:ilvl="0" w:tplc="C818B9E2">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21"/>
  </w:num>
  <w:num w:numId="4">
    <w:abstractNumId w:val="20"/>
  </w:num>
  <w:num w:numId="5">
    <w:abstractNumId w:val="18"/>
  </w:num>
  <w:num w:numId="6">
    <w:abstractNumId w:val="13"/>
  </w:num>
  <w:num w:numId="7">
    <w:abstractNumId w:val="19"/>
  </w:num>
  <w:num w:numId="8">
    <w:abstractNumId w:val="9"/>
  </w:num>
  <w:num w:numId="9">
    <w:abstractNumId w:val="3"/>
  </w:num>
  <w:num w:numId="10">
    <w:abstractNumId w:val="14"/>
  </w:num>
  <w:num w:numId="11">
    <w:abstractNumId w:val="2"/>
  </w:num>
  <w:num w:numId="12">
    <w:abstractNumId w:val="4"/>
  </w:num>
  <w:num w:numId="13">
    <w:abstractNumId w:val="16"/>
  </w:num>
  <w:num w:numId="14">
    <w:abstractNumId w:val="15"/>
  </w:num>
  <w:num w:numId="15">
    <w:abstractNumId w:val="10"/>
  </w:num>
  <w:num w:numId="16">
    <w:abstractNumId w:val="6"/>
  </w:num>
  <w:num w:numId="17">
    <w:abstractNumId w:val="17"/>
  </w:num>
  <w:num w:numId="18">
    <w:abstractNumId w:val="8"/>
  </w:num>
  <w:num w:numId="19">
    <w:abstractNumId w:val="11"/>
  </w:num>
  <w:num w:numId="20">
    <w:abstractNumId w:val="1"/>
  </w:num>
  <w:num w:numId="21">
    <w:abstractNumId w:val="5"/>
  </w:num>
  <w:num w:numId="22">
    <w:abstractNumId w:val="7"/>
  </w:num>
  <w:num w:numId="23">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D4"/>
    <w:rsid w:val="0000612F"/>
    <w:rsid w:val="00007833"/>
    <w:rsid w:val="0001166F"/>
    <w:rsid w:val="00017876"/>
    <w:rsid w:val="000208C4"/>
    <w:rsid w:val="00030777"/>
    <w:rsid w:val="00033B6D"/>
    <w:rsid w:val="00034BDC"/>
    <w:rsid w:val="0004096A"/>
    <w:rsid w:val="00042066"/>
    <w:rsid w:val="00043E83"/>
    <w:rsid w:val="00061D8A"/>
    <w:rsid w:val="000645AE"/>
    <w:rsid w:val="00065055"/>
    <w:rsid w:val="00072134"/>
    <w:rsid w:val="0007520C"/>
    <w:rsid w:val="00077806"/>
    <w:rsid w:val="00080D48"/>
    <w:rsid w:val="00083E27"/>
    <w:rsid w:val="00084244"/>
    <w:rsid w:val="00084936"/>
    <w:rsid w:val="0008529F"/>
    <w:rsid w:val="0009097C"/>
    <w:rsid w:val="00090BB6"/>
    <w:rsid w:val="00091C0A"/>
    <w:rsid w:val="00093CCA"/>
    <w:rsid w:val="0009467D"/>
    <w:rsid w:val="00097477"/>
    <w:rsid w:val="000A73E7"/>
    <w:rsid w:val="000B1AC6"/>
    <w:rsid w:val="000C4386"/>
    <w:rsid w:val="000C6536"/>
    <w:rsid w:val="000D32FB"/>
    <w:rsid w:val="000D4608"/>
    <w:rsid w:val="000E3821"/>
    <w:rsid w:val="000F27FA"/>
    <w:rsid w:val="000F5593"/>
    <w:rsid w:val="000F6896"/>
    <w:rsid w:val="0010327E"/>
    <w:rsid w:val="00107089"/>
    <w:rsid w:val="001071C6"/>
    <w:rsid w:val="00110054"/>
    <w:rsid w:val="0011594B"/>
    <w:rsid w:val="001204A9"/>
    <w:rsid w:val="00121C99"/>
    <w:rsid w:val="00124648"/>
    <w:rsid w:val="00124D8D"/>
    <w:rsid w:val="0014239A"/>
    <w:rsid w:val="0014245A"/>
    <w:rsid w:val="0014685D"/>
    <w:rsid w:val="00147661"/>
    <w:rsid w:val="0016616D"/>
    <w:rsid w:val="00170719"/>
    <w:rsid w:val="00176510"/>
    <w:rsid w:val="00176A44"/>
    <w:rsid w:val="0018126B"/>
    <w:rsid w:val="0018279A"/>
    <w:rsid w:val="0018297C"/>
    <w:rsid w:val="00185EF0"/>
    <w:rsid w:val="001904ED"/>
    <w:rsid w:val="00195ED0"/>
    <w:rsid w:val="001A3475"/>
    <w:rsid w:val="001A44EE"/>
    <w:rsid w:val="001B002E"/>
    <w:rsid w:val="001B269E"/>
    <w:rsid w:val="001B3D2B"/>
    <w:rsid w:val="001B4E85"/>
    <w:rsid w:val="001C58B0"/>
    <w:rsid w:val="001C73FD"/>
    <w:rsid w:val="001D194D"/>
    <w:rsid w:val="001D2F92"/>
    <w:rsid w:val="001D5681"/>
    <w:rsid w:val="001E2FBB"/>
    <w:rsid w:val="001E4853"/>
    <w:rsid w:val="001F7266"/>
    <w:rsid w:val="001F78E9"/>
    <w:rsid w:val="00215129"/>
    <w:rsid w:val="00217D47"/>
    <w:rsid w:val="002220D4"/>
    <w:rsid w:val="00223150"/>
    <w:rsid w:val="00224745"/>
    <w:rsid w:val="00225BEE"/>
    <w:rsid w:val="0022721E"/>
    <w:rsid w:val="0023086F"/>
    <w:rsid w:val="00236EB5"/>
    <w:rsid w:val="0023759C"/>
    <w:rsid w:val="0024068A"/>
    <w:rsid w:val="002477E3"/>
    <w:rsid w:val="002521C9"/>
    <w:rsid w:val="002537EE"/>
    <w:rsid w:val="002561CA"/>
    <w:rsid w:val="00265983"/>
    <w:rsid w:val="002722ED"/>
    <w:rsid w:val="00272792"/>
    <w:rsid w:val="00275607"/>
    <w:rsid w:val="0028197B"/>
    <w:rsid w:val="00284920"/>
    <w:rsid w:val="002912A0"/>
    <w:rsid w:val="002935F2"/>
    <w:rsid w:val="002A04C8"/>
    <w:rsid w:val="002A2170"/>
    <w:rsid w:val="002B0689"/>
    <w:rsid w:val="002B0B88"/>
    <w:rsid w:val="002B4EEB"/>
    <w:rsid w:val="002C3F34"/>
    <w:rsid w:val="002C6142"/>
    <w:rsid w:val="002C6C59"/>
    <w:rsid w:val="002D36C0"/>
    <w:rsid w:val="002D4CB5"/>
    <w:rsid w:val="002E1C50"/>
    <w:rsid w:val="002E4786"/>
    <w:rsid w:val="002E4BA0"/>
    <w:rsid w:val="002E6055"/>
    <w:rsid w:val="002E6A4D"/>
    <w:rsid w:val="002F05D2"/>
    <w:rsid w:val="002F7395"/>
    <w:rsid w:val="00300E54"/>
    <w:rsid w:val="0030797C"/>
    <w:rsid w:val="0031180B"/>
    <w:rsid w:val="0031344D"/>
    <w:rsid w:val="00314FBB"/>
    <w:rsid w:val="0032036F"/>
    <w:rsid w:val="00323A98"/>
    <w:rsid w:val="00324583"/>
    <w:rsid w:val="00327711"/>
    <w:rsid w:val="003306E3"/>
    <w:rsid w:val="00331140"/>
    <w:rsid w:val="003314B9"/>
    <w:rsid w:val="00340046"/>
    <w:rsid w:val="00340A74"/>
    <w:rsid w:val="00347279"/>
    <w:rsid w:val="003545D4"/>
    <w:rsid w:val="003605D0"/>
    <w:rsid w:val="00362023"/>
    <w:rsid w:val="00364739"/>
    <w:rsid w:val="0036483F"/>
    <w:rsid w:val="0037354E"/>
    <w:rsid w:val="00376B7A"/>
    <w:rsid w:val="00377F0B"/>
    <w:rsid w:val="0038152F"/>
    <w:rsid w:val="003947ED"/>
    <w:rsid w:val="00396686"/>
    <w:rsid w:val="003B2F2A"/>
    <w:rsid w:val="003B5AAF"/>
    <w:rsid w:val="003B6B80"/>
    <w:rsid w:val="003C04A0"/>
    <w:rsid w:val="003C2AEA"/>
    <w:rsid w:val="003D7C25"/>
    <w:rsid w:val="003E2A09"/>
    <w:rsid w:val="003E6FBE"/>
    <w:rsid w:val="003F0B21"/>
    <w:rsid w:val="003F3E00"/>
    <w:rsid w:val="004023D6"/>
    <w:rsid w:val="00411175"/>
    <w:rsid w:val="00412FA3"/>
    <w:rsid w:val="00413532"/>
    <w:rsid w:val="00421C0E"/>
    <w:rsid w:val="00427319"/>
    <w:rsid w:val="00434111"/>
    <w:rsid w:val="0044421B"/>
    <w:rsid w:val="00447146"/>
    <w:rsid w:val="00481E71"/>
    <w:rsid w:val="00491ABD"/>
    <w:rsid w:val="00495D04"/>
    <w:rsid w:val="004A4E22"/>
    <w:rsid w:val="004A64AF"/>
    <w:rsid w:val="004B04FD"/>
    <w:rsid w:val="004B4BF3"/>
    <w:rsid w:val="004C2686"/>
    <w:rsid w:val="004C2F60"/>
    <w:rsid w:val="004C41EB"/>
    <w:rsid w:val="004D1972"/>
    <w:rsid w:val="004D23F2"/>
    <w:rsid w:val="004D24BE"/>
    <w:rsid w:val="004D32DB"/>
    <w:rsid w:val="004E541D"/>
    <w:rsid w:val="004E6E5B"/>
    <w:rsid w:val="004F2893"/>
    <w:rsid w:val="00500693"/>
    <w:rsid w:val="0050138A"/>
    <w:rsid w:val="00504F75"/>
    <w:rsid w:val="005077B6"/>
    <w:rsid w:val="00510860"/>
    <w:rsid w:val="00515571"/>
    <w:rsid w:val="005157D7"/>
    <w:rsid w:val="005223F1"/>
    <w:rsid w:val="00526A08"/>
    <w:rsid w:val="005320D7"/>
    <w:rsid w:val="00540777"/>
    <w:rsid w:val="00547C5D"/>
    <w:rsid w:val="00550F3D"/>
    <w:rsid w:val="005525ED"/>
    <w:rsid w:val="00553587"/>
    <w:rsid w:val="005608E4"/>
    <w:rsid w:val="00564335"/>
    <w:rsid w:val="005702E0"/>
    <w:rsid w:val="00576053"/>
    <w:rsid w:val="00582C53"/>
    <w:rsid w:val="00584129"/>
    <w:rsid w:val="005B03E9"/>
    <w:rsid w:val="005C1D29"/>
    <w:rsid w:val="005C72B6"/>
    <w:rsid w:val="005D0A3F"/>
    <w:rsid w:val="005D668B"/>
    <w:rsid w:val="005E3FC0"/>
    <w:rsid w:val="005E517E"/>
    <w:rsid w:val="005E693F"/>
    <w:rsid w:val="005E6ABD"/>
    <w:rsid w:val="005F1F64"/>
    <w:rsid w:val="005F6270"/>
    <w:rsid w:val="00603849"/>
    <w:rsid w:val="00605080"/>
    <w:rsid w:val="006070CA"/>
    <w:rsid w:val="006165F3"/>
    <w:rsid w:val="00624C2D"/>
    <w:rsid w:val="00625D3E"/>
    <w:rsid w:val="006317F5"/>
    <w:rsid w:val="00632B77"/>
    <w:rsid w:val="00632F80"/>
    <w:rsid w:val="00635E34"/>
    <w:rsid w:val="00636C22"/>
    <w:rsid w:val="006426C5"/>
    <w:rsid w:val="00644DB1"/>
    <w:rsid w:val="00661853"/>
    <w:rsid w:val="00664034"/>
    <w:rsid w:val="00670BFA"/>
    <w:rsid w:val="00673AA6"/>
    <w:rsid w:val="00674C84"/>
    <w:rsid w:val="00676572"/>
    <w:rsid w:val="00681193"/>
    <w:rsid w:val="006814A3"/>
    <w:rsid w:val="00681696"/>
    <w:rsid w:val="0068459F"/>
    <w:rsid w:val="00690038"/>
    <w:rsid w:val="00691AA5"/>
    <w:rsid w:val="006943F7"/>
    <w:rsid w:val="006A0EAD"/>
    <w:rsid w:val="006A4CDA"/>
    <w:rsid w:val="006B6016"/>
    <w:rsid w:val="006B7A70"/>
    <w:rsid w:val="006C116F"/>
    <w:rsid w:val="006C68F7"/>
    <w:rsid w:val="006C695C"/>
    <w:rsid w:val="006D0A84"/>
    <w:rsid w:val="006D1013"/>
    <w:rsid w:val="006D6C9F"/>
    <w:rsid w:val="006E17EB"/>
    <w:rsid w:val="006F1CBE"/>
    <w:rsid w:val="006F218E"/>
    <w:rsid w:val="006F6A46"/>
    <w:rsid w:val="00703853"/>
    <w:rsid w:val="00706A9F"/>
    <w:rsid w:val="00707BD4"/>
    <w:rsid w:val="00707E79"/>
    <w:rsid w:val="007211D4"/>
    <w:rsid w:val="00722913"/>
    <w:rsid w:val="00727E8D"/>
    <w:rsid w:val="00750251"/>
    <w:rsid w:val="0076072A"/>
    <w:rsid w:val="00761F01"/>
    <w:rsid w:val="00763D5F"/>
    <w:rsid w:val="00766174"/>
    <w:rsid w:val="00775B3D"/>
    <w:rsid w:val="00776008"/>
    <w:rsid w:val="007765B3"/>
    <w:rsid w:val="00781CBE"/>
    <w:rsid w:val="00795931"/>
    <w:rsid w:val="00796677"/>
    <w:rsid w:val="007A03EE"/>
    <w:rsid w:val="007B069C"/>
    <w:rsid w:val="007B157A"/>
    <w:rsid w:val="007B20D9"/>
    <w:rsid w:val="007C0A17"/>
    <w:rsid w:val="007C2CBA"/>
    <w:rsid w:val="007C53DF"/>
    <w:rsid w:val="007D209B"/>
    <w:rsid w:val="007D24C9"/>
    <w:rsid w:val="007D54E9"/>
    <w:rsid w:val="007E01E1"/>
    <w:rsid w:val="007E0C21"/>
    <w:rsid w:val="007E3D37"/>
    <w:rsid w:val="007F291E"/>
    <w:rsid w:val="00805D3C"/>
    <w:rsid w:val="008128DF"/>
    <w:rsid w:val="00820B4D"/>
    <w:rsid w:val="00825767"/>
    <w:rsid w:val="00830E42"/>
    <w:rsid w:val="00834D07"/>
    <w:rsid w:val="00840711"/>
    <w:rsid w:val="00842505"/>
    <w:rsid w:val="00845D37"/>
    <w:rsid w:val="00847453"/>
    <w:rsid w:val="00850197"/>
    <w:rsid w:val="008612BC"/>
    <w:rsid w:val="00862497"/>
    <w:rsid w:val="00863225"/>
    <w:rsid w:val="00864BC7"/>
    <w:rsid w:val="00873846"/>
    <w:rsid w:val="008762C7"/>
    <w:rsid w:val="00877D38"/>
    <w:rsid w:val="00881A27"/>
    <w:rsid w:val="00890580"/>
    <w:rsid w:val="008A3F9E"/>
    <w:rsid w:val="008A414F"/>
    <w:rsid w:val="008A79B4"/>
    <w:rsid w:val="008A7F32"/>
    <w:rsid w:val="008C1674"/>
    <w:rsid w:val="008C5015"/>
    <w:rsid w:val="008C6444"/>
    <w:rsid w:val="008C6BFB"/>
    <w:rsid w:val="008D093A"/>
    <w:rsid w:val="008E134E"/>
    <w:rsid w:val="008E30A5"/>
    <w:rsid w:val="008E4975"/>
    <w:rsid w:val="008E70D6"/>
    <w:rsid w:val="008F0DD0"/>
    <w:rsid w:val="008F6501"/>
    <w:rsid w:val="00901A49"/>
    <w:rsid w:val="00903A79"/>
    <w:rsid w:val="00903B6B"/>
    <w:rsid w:val="00910318"/>
    <w:rsid w:val="009154B8"/>
    <w:rsid w:val="00920B78"/>
    <w:rsid w:val="00925451"/>
    <w:rsid w:val="00937621"/>
    <w:rsid w:val="00957F9A"/>
    <w:rsid w:val="00960070"/>
    <w:rsid w:val="0096156B"/>
    <w:rsid w:val="009630D1"/>
    <w:rsid w:val="00966617"/>
    <w:rsid w:val="0096795C"/>
    <w:rsid w:val="00967A43"/>
    <w:rsid w:val="00973361"/>
    <w:rsid w:val="00982CD8"/>
    <w:rsid w:val="00982FE1"/>
    <w:rsid w:val="00990D98"/>
    <w:rsid w:val="009A2D60"/>
    <w:rsid w:val="009A5938"/>
    <w:rsid w:val="009B33AF"/>
    <w:rsid w:val="009C0AEA"/>
    <w:rsid w:val="009C71F5"/>
    <w:rsid w:val="009D1EC7"/>
    <w:rsid w:val="009D3834"/>
    <w:rsid w:val="009D48B8"/>
    <w:rsid w:val="009E4028"/>
    <w:rsid w:val="009F06A8"/>
    <w:rsid w:val="009F7242"/>
    <w:rsid w:val="00A1781A"/>
    <w:rsid w:val="00A22623"/>
    <w:rsid w:val="00A23599"/>
    <w:rsid w:val="00A23CB3"/>
    <w:rsid w:val="00A26D50"/>
    <w:rsid w:val="00A40031"/>
    <w:rsid w:val="00A43D37"/>
    <w:rsid w:val="00A44DD3"/>
    <w:rsid w:val="00A525BF"/>
    <w:rsid w:val="00A53E53"/>
    <w:rsid w:val="00A5513E"/>
    <w:rsid w:val="00A56987"/>
    <w:rsid w:val="00A62E46"/>
    <w:rsid w:val="00A6305B"/>
    <w:rsid w:val="00A650E0"/>
    <w:rsid w:val="00A71AA7"/>
    <w:rsid w:val="00A73958"/>
    <w:rsid w:val="00A87D94"/>
    <w:rsid w:val="00A92A8A"/>
    <w:rsid w:val="00A95FD3"/>
    <w:rsid w:val="00AA1D24"/>
    <w:rsid w:val="00AA4633"/>
    <w:rsid w:val="00AB041E"/>
    <w:rsid w:val="00AB11A9"/>
    <w:rsid w:val="00AB24B1"/>
    <w:rsid w:val="00AC43CC"/>
    <w:rsid w:val="00AC5066"/>
    <w:rsid w:val="00AD1EB5"/>
    <w:rsid w:val="00AD3F3C"/>
    <w:rsid w:val="00AE23A2"/>
    <w:rsid w:val="00AE4383"/>
    <w:rsid w:val="00AE4651"/>
    <w:rsid w:val="00AE5382"/>
    <w:rsid w:val="00AE626E"/>
    <w:rsid w:val="00AE662A"/>
    <w:rsid w:val="00AE6F1E"/>
    <w:rsid w:val="00AF2EC2"/>
    <w:rsid w:val="00AF6B96"/>
    <w:rsid w:val="00B009AF"/>
    <w:rsid w:val="00B00F78"/>
    <w:rsid w:val="00B04E5A"/>
    <w:rsid w:val="00B10B69"/>
    <w:rsid w:val="00B11178"/>
    <w:rsid w:val="00B112A3"/>
    <w:rsid w:val="00B138EA"/>
    <w:rsid w:val="00B13A75"/>
    <w:rsid w:val="00B13E74"/>
    <w:rsid w:val="00B20EBF"/>
    <w:rsid w:val="00B26C50"/>
    <w:rsid w:val="00B27426"/>
    <w:rsid w:val="00B3142D"/>
    <w:rsid w:val="00B31C3F"/>
    <w:rsid w:val="00B330CA"/>
    <w:rsid w:val="00B3451D"/>
    <w:rsid w:val="00B409FD"/>
    <w:rsid w:val="00B524D4"/>
    <w:rsid w:val="00B541A1"/>
    <w:rsid w:val="00B57A21"/>
    <w:rsid w:val="00B60ABF"/>
    <w:rsid w:val="00B658A3"/>
    <w:rsid w:val="00B6723C"/>
    <w:rsid w:val="00B674B6"/>
    <w:rsid w:val="00B72295"/>
    <w:rsid w:val="00B72868"/>
    <w:rsid w:val="00B72F56"/>
    <w:rsid w:val="00B82F23"/>
    <w:rsid w:val="00B837A1"/>
    <w:rsid w:val="00B83CB5"/>
    <w:rsid w:val="00B8487B"/>
    <w:rsid w:val="00B84CDD"/>
    <w:rsid w:val="00B85D17"/>
    <w:rsid w:val="00B86EA2"/>
    <w:rsid w:val="00B92C8C"/>
    <w:rsid w:val="00BA1A9B"/>
    <w:rsid w:val="00BB02ED"/>
    <w:rsid w:val="00BC2DEB"/>
    <w:rsid w:val="00BC2F2F"/>
    <w:rsid w:val="00BC63B6"/>
    <w:rsid w:val="00BC7D4D"/>
    <w:rsid w:val="00BD1647"/>
    <w:rsid w:val="00BD33D2"/>
    <w:rsid w:val="00BE1338"/>
    <w:rsid w:val="00BE31BA"/>
    <w:rsid w:val="00BE4EA3"/>
    <w:rsid w:val="00BE6519"/>
    <w:rsid w:val="00BE72A7"/>
    <w:rsid w:val="00BF082C"/>
    <w:rsid w:val="00BF3FCF"/>
    <w:rsid w:val="00C06826"/>
    <w:rsid w:val="00C21076"/>
    <w:rsid w:val="00C32E5D"/>
    <w:rsid w:val="00C335AA"/>
    <w:rsid w:val="00C41D5A"/>
    <w:rsid w:val="00C42204"/>
    <w:rsid w:val="00C46B71"/>
    <w:rsid w:val="00C47B81"/>
    <w:rsid w:val="00C52C7A"/>
    <w:rsid w:val="00C53B1C"/>
    <w:rsid w:val="00C53CE9"/>
    <w:rsid w:val="00C56C90"/>
    <w:rsid w:val="00C63BB4"/>
    <w:rsid w:val="00C72432"/>
    <w:rsid w:val="00C77382"/>
    <w:rsid w:val="00C80066"/>
    <w:rsid w:val="00C84A74"/>
    <w:rsid w:val="00C92202"/>
    <w:rsid w:val="00CA1C3F"/>
    <w:rsid w:val="00CA22A2"/>
    <w:rsid w:val="00CB6BEC"/>
    <w:rsid w:val="00CC10BF"/>
    <w:rsid w:val="00CC1B8B"/>
    <w:rsid w:val="00CC454B"/>
    <w:rsid w:val="00CC4988"/>
    <w:rsid w:val="00CC6D64"/>
    <w:rsid w:val="00CC7658"/>
    <w:rsid w:val="00CD2930"/>
    <w:rsid w:val="00CD2963"/>
    <w:rsid w:val="00CD6D2F"/>
    <w:rsid w:val="00CE1364"/>
    <w:rsid w:val="00CE19B2"/>
    <w:rsid w:val="00CE74C1"/>
    <w:rsid w:val="00CF159B"/>
    <w:rsid w:val="00CF19D8"/>
    <w:rsid w:val="00CF501A"/>
    <w:rsid w:val="00CF7396"/>
    <w:rsid w:val="00D034D2"/>
    <w:rsid w:val="00D03E9E"/>
    <w:rsid w:val="00D1099A"/>
    <w:rsid w:val="00D11FE3"/>
    <w:rsid w:val="00D14B09"/>
    <w:rsid w:val="00D156FA"/>
    <w:rsid w:val="00D225A2"/>
    <w:rsid w:val="00D227B3"/>
    <w:rsid w:val="00D235C3"/>
    <w:rsid w:val="00D23DB8"/>
    <w:rsid w:val="00D25EB7"/>
    <w:rsid w:val="00D26779"/>
    <w:rsid w:val="00D27487"/>
    <w:rsid w:val="00D33C6F"/>
    <w:rsid w:val="00D3623C"/>
    <w:rsid w:val="00D416A4"/>
    <w:rsid w:val="00D42016"/>
    <w:rsid w:val="00D45AC6"/>
    <w:rsid w:val="00D511B6"/>
    <w:rsid w:val="00D51BA7"/>
    <w:rsid w:val="00D51C7F"/>
    <w:rsid w:val="00D57039"/>
    <w:rsid w:val="00D601AE"/>
    <w:rsid w:val="00D6274F"/>
    <w:rsid w:val="00D71620"/>
    <w:rsid w:val="00D72C78"/>
    <w:rsid w:val="00D72DD1"/>
    <w:rsid w:val="00D73A8A"/>
    <w:rsid w:val="00D778F3"/>
    <w:rsid w:val="00D84750"/>
    <w:rsid w:val="00D86871"/>
    <w:rsid w:val="00D90036"/>
    <w:rsid w:val="00D969AE"/>
    <w:rsid w:val="00DA0EBF"/>
    <w:rsid w:val="00DA5453"/>
    <w:rsid w:val="00DA7FDB"/>
    <w:rsid w:val="00DB325E"/>
    <w:rsid w:val="00DB64AF"/>
    <w:rsid w:val="00DB66D9"/>
    <w:rsid w:val="00DC219A"/>
    <w:rsid w:val="00DC3BEA"/>
    <w:rsid w:val="00DC6228"/>
    <w:rsid w:val="00DF5DE1"/>
    <w:rsid w:val="00DF7FF1"/>
    <w:rsid w:val="00E0007E"/>
    <w:rsid w:val="00E0321C"/>
    <w:rsid w:val="00E0331F"/>
    <w:rsid w:val="00E11228"/>
    <w:rsid w:val="00E13252"/>
    <w:rsid w:val="00E140CD"/>
    <w:rsid w:val="00E17EE6"/>
    <w:rsid w:val="00E3320C"/>
    <w:rsid w:val="00E34FAD"/>
    <w:rsid w:val="00E3710F"/>
    <w:rsid w:val="00E454EF"/>
    <w:rsid w:val="00E461DF"/>
    <w:rsid w:val="00E54143"/>
    <w:rsid w:val="00E5594F"/>
    <w:rsid w:val="00E55F73"/>
    <w:rsid w:val="00E662D4"/>
    <w:rsid w:val="00E7447D"/>
    <w:rsid w:val="00E77254"/>
    <w:rsid w:val="00E82358"/>
    <w:rsid w:val="00E85C9F"/>
    <w:rsid w:val="00E86974"/>
    <w:rsid w:val="00E86C8E"/>
    <w:rsid w:val="00E9124F"/>
    <w:rsid w:val="00E92C83"/>
    <w:rsid w:val="00E95B74"/>
    <w:rsid w:val="00E95FFC"/>
    <w:rsid w:val="00EA1A96"/>
    <w:rsid w:val="00EA2FB7"/>
    <w:rsid w:val="00EA5C14"/>
    <w:rsid w:val="00EA61E6"/>
    <w:rsid w:val="00EB7767"/>
    <w:rsid w:val="00EC61D2"/>
    <w:rsid w:val="00EC73C7"/>
    <w:rsid w:val="00ED0FF1"/>
    <w:rsid w:val="00ED2947"/>
    <w:rsid w:val="00ED301D"/>
    <w:rsid w:val="00EE0D94"/>
    <w:rsid w:val="00EE3EFF"/>
    <w:rsid w:val="00EE7A2D"/>
    <w:rsid w:val="00EF0D4E"/>
    <w:rsid w:val="00EF184F"/>
    <w:rsid w:val="00EF57CF"/>
    <w:rsid w:val="00F001E8"/>
    <w:rsid w:val="00F05E86"/>
    <w:rsid w:val="00F06179"/>
    <w:rsid w:val="00F07E2B"/>
    <w:rsid w:val="00F10EBA"/>
    <w:rsid w:val="00F2189D"/>
    <w:rsid w:val="00F3120B"/>
    <w:rsid w:val="00F31BC9"/>
    <w:rsid w:val="00F31C46"/>
    <w:rsid w:val="00F3314B"/>
    <w:rsid w:val="00F35D27"/>
    <w:rsid w:val="00F45806"/>
    <w:rsid w:val="00F46386"/>
    <w:rsid w:val="00F51583"/>
    <w:rsid w:val="00F542E2"/>
    <w:rsid w:val="00F55D87"/>
    <w:rsid w:val="00F603DF"/>
    <w:rsid w:val="00F70A7F"/>
    <w:rsid w:val="00F70E1B"/>
    <w:rsid w:val="00F71976"/>
    <w:rsid w:val="00F83D87"/>
    <w:rsid w:val="00F86FA1"/>
    <w:rsid w:val="00F90772"/>
    <w:rsid w:val="00F92115"/>
    <w:rsid w:val="00F933BA"/>
    <w:rsid w:val="00F937A5"/>
    <w:rsid w:val="00F93D15"/>
    <w:rsid w:val="00F97C0B"/>
    <w:rsid w:val="00FA3B46"/>
    <w:rsid w:val="00FA5C55"/>
    <w:rsid w:val="00FA5E8D"/>
    <w:rsid w:val="00FA5EE3"/>
    <w:rsid w:val="00FB1AB9"/>
    <w:rsid w:val="00FB4782"/>
    <w:rsid w:val="00FB78FB"/>
    <w:rsid w:val="00FC0204"/>
    <w:rsid w:val="00FC37E0"/>
    <w:rsid w:val="00FC4707"/>
    <w:rsid w:val="00FC605A"/>
    <w:rsid w:val="00FD4521"/>
    <w:rsid w:val="00FD5620"/>
    <w:rsid w:val="00FE6824"/>
    <w:rsid w:val="00FE6EC1"/>
    <w:rsid w:val="00FE7B54"/>
    <w:rsid w:val="00FF6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0EEC43-C001-4DF4-90EE-27861746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cs="Arial"/>
      <w:sz w:val="28"/>
    </w:rPr>
  </w:style>
  <w:style w:type="paragraph" w:styleId="Heading2">
    <w:name w:val="heading 2"/>
    <w:basedOn w:val="Normal"/>
    <w:next w:val="Normal"/>
    <w:qFormat/>
    <w:pPr>
      <w:keepNext/>
      <w:ind w:left="-1080" w:right="-1234"/>
      <w:jc w:val="right"/>
      <w:outlineLvl w:val="1"/>
    </w:pPr>
    <w:rPr>
      <w:rFonts w:ascii="Arial" w:hAnsi="Arial" w:cs="Arial"/>
      <w:i/>
      <w:iCs/>
    </w:rPr>
  </w:style>
  <w:style w:type="paragraph" w:styleId="Heading3">
    <w:name w:val="heading 3"/>
    <w:basedOn w:val="Normal"/>
    <w:next w:val="Normal"/>
    <w:qFormat/>
    <w:pPr>
      <w:keepNext/>
      <w:ind w:left="-1080" w:right="-1234"/>
      <w:jc w:val="both"/>
      <w:outlineLvl w:val="2"/>
    </w:pPr>
    <w:rPr>
      <w:rFonts w:ascii="Arial" w:hAnsi="Arial" w:cs="Arial"/>
      <w:i/>
      <w:iCs/>
      <w:sz w:val="20"/>
    </w:rPr>
  </w:style>
  <w:style w:type="paragraph" w:styleId="Heading4">
    <w:name w:val="heading 4"/>
    <w:basedOn w:val="Normal"/>
    <w:next w:val="Normal"/>
    <w:qFormat/>
    <w:pPr>
      <w:keepNext/>
      <w:spacing w:before="240" w:after="60"/>
      <w:outlineLvl w:val="3"/>
    </w:pPr>
    <w:rPr>
      <w:b/>
      <w:bCs/>
      <w:sz w:val="28"/>
      <w:szCs w:val="28"/>
    </w:rPr>
  </w:style>
  <w:style w:type="paragraph" w:styleId="Heading6">
    <w:name w:val="heading 6"/>
    <w:basedOn w:val="Normal"/>
    <w:next w:val="Normal"/>
    <w:qFormat/>
    <w:pPr>
      <w:keepNext/>
      <w:jc w:val="both"/>
      <w:outlineLvl w:val="5"/>
    </w:pPr>
    <w:rPr>
      <w:rFonts w:ascii="News Gothic MT" w:hAnsi="News Gothic MT"/>
      <w:b/>
      <w:bCs/>
      <w:sz w:val="18"/>
      <w:szCs w:val="20"/>
    </w:rPr>
  </w:style>
  <w:style w:type="paragraph" w:styleId="Heading9">
    <w:name w:val="heading 9"/>
    <w:basedOn w:val="Normal"/>
    <w:next w:val="Normal"/>
    <w:qFormat/>
    <w:pPr>
      <w:keepNext/>
      <w:outlineLvl w:val="8"/>
    </w:pPr>
    <w:rPr>
      <w:rFonts w:ascii="News Gothic MT" w:hAnsi="News Gothic MT"/>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News Gothic MT" w:hAnsi="News Gothic MT"/>
      <w:sz w:val="18"/>
    </w:rPr>
  </w:style>
  <w:style w:type="paragraph" w:styleId="BodyText2">
    <w:name w:val="Body Text 2"/>
    <w:basedOn w:val="Normal"/>
    <w:rPr>
      <w:rFonts w:ascii="Arial" w:hAnsi="Arial" w:cs="Arial"/>
      <w:i/>
      <w:iCs/>
    </w:rPr>
  </w:style>
  <w:style w:type="paragraph" w:styleId="Title">
    <w:name w:val="Title"/>
    <w:basedOn w:val="Normal"/>
    <w:qFormat/>
    <w:pPr>
      <w:jc w:val="center"/>
    </w:pPr>
    <w:rPr>
      <w:rFonts w:ascii="News Gothic MT" w:hAnsi="News Gothic MT"/>
      <w:b/>
      <w:bCs/>
      <w:sz w:val="22"/>
    </w:rPr>
  </w:style>
  <w:style w:type="paragraph" w:styleId="BodyText3">
    <w:name w:val="Body Text 3"/>
    <w:basedOn w:val="Normal"/>
    <w:pPr>
      <w:jc w:val="both"/>
    </w:pPr>
    <w:rPr>
      <w:rFonts w:ascii="Arial" w:hAnsi="Arial" w:cs="Arial"/>
    </w:rPr>
  </w:style>
  <w:style w:type="paragraph" w:styleId="BlockText">
    <w:name w:val="Block Text"/>
    <w:basedOn w:val="Normal"/>
    <w:pPr>
      <w:ind w:left="-1080" w:right="-1234"/>
      <w:jc w:val="both"/>
    </w:pPr>
    <w:rPr>
      <w:rFonts w:ascii="Arial" w:hAnsi="Arial" w:cs="Arial"/>
      <w:i/>
      <w:iCs/>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paragraph" w:styleId="BodyTextIndent2">
    <w:name w:val="Body Text Indent 2"/>
    <w:basedOn w:val="Normal"/>
    <w:pPr>
      <w:ind w:firstLine="4"/>
      <w:jc w:val="both"/>
    </w:pPr>
    <w:rPr>
      <w:rFonts w:ascii="News Gothic MT" w:hAnsi="News Gothic MT"/>
      <w:sz w:val="18"/>
      <w:szCs w:val="20"/>
    </w:rPr>
  </w:style>
  <w:style w:type="paragraph" w:styleId="NormalWeb">
    <w:name w:val="Normal (Web)"/>
    <w:basedOn w:val="Normal"/>
    <w:rsid w:val="00CE19B2"/>
    <w:pPr>
      <w:spacing w:before="100" w:beforeAutospacing="1" w:after="100" w:afterAutospacing="1"/>
    </w:pPr>
    <w:rPr>
      <w:lang w:eastAsia="en-GB"/>
    </w:rPr>
  </w:style>
  <w:style w:type="character" w:styleId="Strong">
    <w:name w:val="Strong"/>
    <w:basedOn w:val="DefaultParagraphFont"/>
    <w:qFormat/>
    <w:rsid w:val="00CE19B2"/>
    <w:rPr>
      <w:b/>
      <w:bCs/>
    </w:rPr>
  </w:style>
  <w:style w:type="character" w:styleId="Hyperlink">
    <w:name w:val="Hyperlink"/>
    <w:basedOn w:val="DefaultParagraphFont"/>
    <w:rsid w:val="00834D07"/>
    <w:rPr>
      <w:color w:val="0000FF" w:themeColor="hyperlink"/>
      <w:u w:val="single"/>
    </w:rPr>
  </w:style>
  <w:style w:type="character" w:styleId="FollowedHyperlink">
    <w:name w:val="FollowedHyperlink"/>
    <w:basedOn w:val="DefaultParagraphFont"/>
    <w:rsid w:val="00F31C46"/>
    <w:rPr>
      <w:color w:val="800080" w:themeColor="followedHyperlink"/>
      <w:u w:val="single"/>
    </w:rPr>
  </w:style>
  <w:style w:type="paragraph" w:styleId="PlainText">
    <w:name w:val="Plain Text"/>
    <w:basedOn w:val="Normal"/>
    <w:link w:val="PlainTextChar"/>
    <w:uiPriority w:val="99"/>
    <w:unhideWhenUsed/>
    <w:rsid w:val="00661853"/>
    <w:rPr>
      <w:rFonts w:ascii="Verdana" w:eastAsiaTheme="minorHAnsi" w:hAnsi="Verdana" w:cstheme="minorBidi"/>
      <w:sz w:val="20"/>
      <w:szCs w:val="20"/>
    </w:rPr>
  </w:style>
  <w:style w:type="character" w:customStyle="1" w:styleId="PlainTextChar">
    <w:name w:val="Plain Text Char"/>
    <w:basedOn w:val="DefaultParagraphFont"/>
    <w:link w:val="PlainText"/>
    <w:uiPriority w:val="99"/>
    <w:rsid w:val="00661853"/>
    <w:rPr>
      <w:rFonts w:ascii="Verdana" w:eastAsiaTheme="minorHAnsi" w:hAnsi="Verdana" w:cstheme="minorBidi"/>
      <w:lang w:eastAsia="en-US"/>
    </w:rPr>
  </w:style>
  <w:style w:type="paragraph" w:styleId="ListParagraph">
    <w:name w:val="List Paragraph"/>
    <w:basedOn w:val="Normal"/>
    <w:uiPriority w:val="34"/>
    <w:qFormat/>
    <w:rsid w:val="00E95B74"/>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3C04A0"/>
    <w:rPr>
      <w:sz w:val="16"/>
      <w:szCs w:val="16"/>
    </w:rPr>
  </w:style>
  <w:style w:type="paragraph" w:styleId="CommentText">
    <w:name w:val="annotation text"/>
    <w:basedOn w:val="Normal"/>
    <w:link w:val="CommentTextChar"/>
    <w:rsid w:val="003C04A0"/>
    <w:rPr>
      <w:sz w:val="20"/>
      <w:szCs w:val="20"/>
    </w:rPr>
  </w:style>
  <w:style w:type="character" w:customStyle="1" w:styleId="CommentTextChar">
    <w:name w:val="Comment Text Char"/>
    <w:basedOn w:val="DefaultParagraphFont"/>
    <w:link w:val="CommentText"/>
    <w:rsid w:val="003C04A0"/>
    <w:rPr>
      <w:lang w:eastAsia="en-US"/>
    </w:rPr>
  </w:style>
  <w:style w:type="paragraph" w:styleId="CommentSubject">
    <w:name w:val="annotation subject"/>
    <w:basedOn w:val="CommentText"/>
    <w:next w:val="CommentText"/>
    <w:link w:val="CommentSubjectChar"/>
    <w:rsid w:val="003C04A0"/>
    <w:rPr>
      <w:b/>
      <w:bCs/>
    </w:rPr>
  </w:style>
  <w:style w:type="character" w:customStyle="1" w:styleId="CommentSubjectChar">
    <w:name w:val="Comment Subject Char"/>
    <w:basedOn w:val="CommentTextChar"/>
    <w:link w:val="CommentSubject"/>
    <w:rsid w:val="003C04A0"/>
    <w:rPr>
      <w:b/>
      <w:bCs/>
      <w:lang w:eastAsia="en-US"/>
    </w:rPr>
  </w:style>
  <w:style w:type="character" w:customStyle="1" w:styleId="Heading1Char">
    <w:name w:val="Heading 1 Char"/>
    <w:basedOn w:val="DefaultParagraphFont"/>
    <w:link w:val="Heading1"/>
    <w:rsid w:val="00121C99"/>
    <w:rPr>
      <w:rFonts w:ascii="Arial" w:hAnsi="Arial" w:cs="Arial"/>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54241">
      <w:bodyDiv w:val="1"/>
      <w:marLeft w:val="0"/>
      <w:marRight w:val="0"/>
      <w:marTop w:val="0"/>
      <w:marBottom w:val="0"/>
      <w:divBdr>
        <w:top w:val="none" w:sz="0" w:space="0" w:color="auto"/>
        <w:left w:val="none" w:sz="0" w:space="0" w:color="auto"/>
        <w:bottom w:val="none" w:sz="0" w:space="0" w:color="auto"/>
        <w:right w:val="none" w:sz="0" w:space="0" w:color="auto"/>
      </w:divBdr>
    </w:div>
    <w:div w:id="188572551">
      <w:bodyDiv w:val="1"/>
      <w:marLeft w:val="0"/>
      <w:marRight w:val="0"/>
      <w:marTop w:val="0"/>
      <w:marBottom w:val="0"/>
      <w:divBdr>
        <w:top w:val="none" w:sz="0" w:space="0" w:color="auto"/>
        <w:left w:val="none" w:sz="0" w:space="0" w:color="auto"/>
        <w:bottom w:val="none" w:sz="0" w:space="0" w:color="auto"/>
        <w:right w:val="none" w:sz="0" w:space="0" w:color="auto"/>
      </w:divBdr>
    </w:div>
    <w:div w:id="213667141">
      <w:bodyDiv w:val="1"/>
      <w:marLeft w:val="0"/>
      <w:marRight w:val="0"/>
      <w:marTop w:val="0"/>
      <w:marBottom w:val="0"/>
      <w:divBdr>
        <w:top w:val="none" w:sz="0" w:space="0" w:color="auto"/>
        <w:left w:val="none" w:sz="0" w:space="0" w:color="auto"/>
        <w:bottom w:val="none" w:sz="0" w:space="0" w:color="auto"/>
        <w:right w:val="none" w:sz="0" w:space="0" w:color="auto"/>
      </w:divBdr>
    </w:div>
    <w:div w:id="319582891">
      <w:bodyDiv w:val="1"/>
      <w:marLeft w:val="0"/>
      <w:marRight w:val="0"/>
      <w:marTop w:val="0"/>
      <w:marBottom w:val="0"/>
      <w:divBdr>
        <w:top w:val="none" w:sz="0" w:space="0" w:color="auto"/>
        <w:left w:val="none" w:sz="0" w:space="0" w:color="auto"/>
        <w:bottom w:val="none" w:sz="0" w:space="0" w:color="auto"/>
        <w:right w:val="none" w:sz="0" w:space="0" w:color="auto"/>
      </w:divBdr>
      <w:divsChild>
        <w:div w:id="780606323">
          <w:marLeft w:val="0"/>
          <w:marRight w:val="0"/>
          <w:marTop w:val="0"/>
          <w:marBottom w:val="0"/>
          <w:divBdr>
            <w:top w:val="none" w:sz="0" w:space="0" w:color="auto"/>
            <w:left w:val="none" w:sz="0" w:space="0" w:color="auto"/>
            <w:bottom w:val="none" w:sz="0" w:space="0" w:color="auto"/>
            <w:right w:val="none" w:sz="0" w:space="0" w:color="auto"/>
          </w:divBdr>
          <w:divsChild>
            <w:div w:id="1422680202">
              <w:marLeft w:val="0"/>
              <w:marRight w:val="0"/>
              <w:marTop w:val="0"/>
              <w:marBottom w:val="0"/>
              <w:divBdr>
                <w:top w:val="none" w:sz="0" w:space="0" w:color="auto"/>
                <w:left w:val="none" w:sz="0" w:space="0" w:color="auto"/>
                <w:bottom w:val="none" w:sz="0" w:space="0" w:color="auto"/>
                <w:right w:val="none" w:sz="0" w:space="0" w:color="auto"/>
              </w:divBdr>
              <w:divsChild>
                <w:div w:id="728456804">
                  <w:marLeft w:val="0"/>
                  <w:marRight w:val="0"/>
                  <w:marTop w:val="0"/>
                  <w:marBottom w:val="0"/>
                  <w:divBdr>
                    <w:top w:val="none" w:sz="0" w:space="0" w:color="auto"/>
                    <w:left w:val="none" w:sz="0" w:space="0" w:color="auto"/>
                    <w:bottom w:val="none" w:sz="0" w:space="0" w:color="auto"/>
                    <w:right w:val="none" w:sz="0" w:space="0" w:color="auto"/>
                  </w:divBdr>
                  <w:divsChild>
                    <w:div w:id="2076856543">
                      <w:marLeft w:val="0"/>
                      <w:marRight w:val="0"/>
                      <w:marTop w:val="0"/>
                      <w:marBottom w:val="0"/>
                      <w:divBdr>
                        <w:top w:val="none" w:sz="0" w:space="0" w:color="auto"/>
                        <w:left w:val="none" w:sz="0" w:space="0" w:color="auto"/>
                        <w:bottom w:val="none" w:sz="0" w:space="0" w:color="auto"/>
                        <w:right w:val="none" w:sz="0" w:space="0" w:color="auto"/>
                      </w:divBdr>
                      <w:divsChild>
                        <w:div w:id="650646099">
                          <w:marLeft w:val="0"/>
                          <w:marRight w:val="0"/>
                          <w:marTop w:val="0"/>
                          <w:marBottom w:val="0"/>
                          <w:divBdr>
                            <w:top w:val="none" w:sz="0" w:space="0" w:color="auto"/>
                            <w:left w:val="none" w:sz="0" w:space="0" w:color="auto"/>
                            <w:bottom w:val="none" w:sz="0" w:space="0" w:color="auto"/>
                            <w:right w:val="none" w:sz="0" w:space="0" w:color="auto"/>
                          </w:divBdr>
                          <w:divsChild>
                            <w:div w:id="18556321">
                              <w:marLeft w:val="0"/>
                              <w:marRight w:val="0"/>
                              <w:marTop w:val="0"/>
                              <w:marBottom w:val="0"/>
                              <w:divBdr>
                                <w:top w:val="none" w:sz="0" w:space="0" w:color="auto"/>
                                <w:left w:val="none" w:sz="0" w:space="0" w:color="auto"/>
                                <w:bottom w:val="none" w:sz="0" w:space="0" w:color="auto"/>
                                <w:right w:val="none" w:sz="0" w:space="0" w:color="auto"/>
                              </w:divBdr>
                              <w:divsChild>
                                <w:div w:id="1084687417">
                                  <w:marLeft w:val="0"/>
                                  <w:marRight w:val="0"/>
                                  <w:marTop w:val="0"/>
                                  <w:marBottom w:val="0"/>
                                  <w:divBdr>
                                    <w:top w:val="none" w:sz="0" w:space="0" w:color="auto"/>
                                    <w:left w:val="none" w:sz="0" w:space="0" w:color="auto"/>
                                    <w:bottom w:val="none" w:sz="0" w:space="0" w:color="auto"/>
                                    <w:right w:val="none" w:sz="0" w:space="0" w:color="auto"/>
                                  </w:divBdr>
                                  <w:divsChild>
                                    <w:div w:id="13990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93880">
      <w:bodyDiv w:val="1"/>
      <w:marLeft w:val="0"/>
      <w:marRight w:val="0"/>
      <w:marTop w:val="0"/>
      <w:marBottom w:val="0"/>
      <w:divBdr>
        <w:top w:val="none" w:sz="0" w:space="0" w:color="auto"/>
        <w:left w:val="none" w:sz="0" w:space="0" w:color="auto"/>
        <w:bottom w:val="none" w:sz="0" w:space="0" w:color="auto"/>
        <w:right w:val="none" w:sz="0" w:space="0" w:color="auto"/>
      </w:divBdr>
    </w:div>
    <w:div w:id="541672405">
      <w:bodyDiv w:val="1"/>
      <w:marLeft w:val="0"/>
      <w:marRight w:val="0"/>
      <w:marTop w:val="0"/>
      <w:marBottom w:val="0"/>
      <w:divBdr>
        <w:top w:val="none" w:sz="0" w:space="0" w:color="auto"/>
        <w:left w:val="none" w:sz="0" w:space="0" w:color="auto"/>
        <w:bottom w:val="none" w:sz="0" w:space="0" w:color="auto"/>
        <w:right w:val="none" w:sz="0" w:space="0" w:color="auto"/>
      </w:divBdr>
    </w:div>
    <w:div w:id="713114326">
      <w:bodyDiv w:val="1"/>
      <w:marLeft w:val="0"/>
      <w:marRight w:val="0"/>
      <w:marTop w:val="0"/>
      <w:marBottom w:val="0"/>
      <w:divBdr>
        <w:top w:val="none" w:sz="0" w:space="0" w:color="auto"/>
        <w:left w:val="none" w:sz="0" w:space="0" w:color="auto"/>
        <w:bottom w:val="none" w:sz="0" w:space="0" w:color="auto"/>
        <w:right w:val="none" w:sz="0" w:space="0" w:color="auto"/>
      </w:divBdr>
    </w:div>
    <w:div w:id="739795635">
      <w:bodyDiv w:val="1"/>
      <w:marLeft w:val="0"/>
      <w:marRight w:val="0"/>
      <w:marTop w:val="0"/>
      <w:marBottom w:val="0"/>
      <w:divBdr>
        <w:top w:val="none" w:sz="0" w:space="0" w:color="auto"/>
        <w:left w:val="none" w:sz="0" w:space="0" w:color="auto"/>
        <w:bottom w:val="none" w:sz="0" w:space="0" w:color="auto"/>
        <w:right w:val="none" w:sz="0" w:space="0" w:color="auto"/>
      </w:divBdr>
    </w:div>
    <w:div w:id="895093296">
      <w:bodyDiv w:val="1"/>
      <w:marLeft w:val="0"/>
      <w:marRight w:val="0"/>
      <w:marTop w:val="0"/>
      <w:marBottom w:val="0"/>
      <w:divBdr>
        <w:top w:val="none" w:sz="0" w:space="0" w:color="auto"/>
        <w:left w:val="none" w:sz="0" w:space="0" w:color="auto"/>
        <w:bottom w:val="none" w:sz="0" w:space="0" w:color="auto"/>
        <w:right w:val="none" w:sz="0" w:space="0" w:color="auto"/>
      </w:divBdr>
      <w:divsChild>
        <w:div w:id="1299454205">
          <w:marLeft w:val="0"/>
          <w:marRight w:val="0"/>
          <w:marTop w:val="0"/>
          <w:marBottom w:val="0"/>
          <w:divBdr>
            <w:top w:val="none" w:sz="0" w:space="0" w:color="auto"/>
            <w:left w:val="none" w:sz="0" w:space="0" w:color="auto"/>
            <w:bottom w:val="none" w:sz="0" w:space="0" w:color="auto"/>
            <w:right w:val="none" w:sz="0" w:space="0" w:color="auto"/>
          </w:divBdr>
          <w:divsChild>
            <w:div w:id="846602438">
              <w:marLeft w:val="0"/>
              <w:marRight w:val="0"/>
              <w:marTop w:val="870"/>
              <w:marBottom w:val="0"/>
              <w:divBdr>
                <w:top w:val="none" w:sz="0" w:space="0" w:color="auto"/>
                <w:left w:val="none" w:sz="0" w:space="0" w:color="auto"/>
                <w:bottom w:val="none" w:sz="0" w:space="0" w:color="auto"/>
                <w:right w:val="none" w:sz="0" w:space="0" w:color="auto"/>
              </w:divBdr>
              <w:divsChild>
                <w:div w:id="660238295">
                  <w:marLeft w:val="0"/>
                  <w:marRight w:val="0"/>
                  <w:marTop w:val="0"/>
                  <w:marBottom w:val="0"/>
                  <w:divBdr>
                    <w:top w:val="none" w:sz="0" w:space="0" w:color="auto"/>
                    <w:left w:val="none" w:sz="0" w:space="0" w:color="auto"/>
                    <w:bottom w:val="none" w:sz="0" w:space="0" w:color="auto"/>
                    <w:right w:val="none" w:sz="0" w:space="0" w:color="auto"/>
                  </w:divBdr>
                  <w:divsChild>
                    <w:div w:id="1549024471">
                      <w:marLeft w:val="0"/>
                      <w:marRight w:val="0"/>
                      <w:marTop w:val="0"/>
                      <w:marBottom w:val="0"/>
                      <w:divBdr>
                        <w:top w:val="none" w:sz="0" w:space="0" w:color="auto"/>
                        <w:left w:val="none" w:sz="0" w:space="0" w:color="auto"/>
                        <w:bottom w:val="none" w:sz="0" w:space="0" w:color="auto"/>
                        <w:right w:val="none" w:sz="0" w:space="0" w:color="auto"/>
                      </w:divBdr>
                      <w:divsChild>
                        <w:div w:id="1919514521">
                          <w:marLeft w:val="0"/>
                          <w:marRight w:val="0"/>
                          <w:marTop w:val="0"/>
                          <w:marBottom w:val="0"/>
                          <w:divBdr>
                            <w:top w:val="none" w:sz="0" w:space="0" w:color="auto"/>
                            <w:left w:val="none" w:sz="0" w:space="0" w:color="auto"/>
                            <w:bottom w:val="none" w:sz="0" w:space="0" w:color="auto"/>
                            <w:right w:val="none" w:sz="0" w:space="0" w:color="auto"/>
                          </w:divBdr>
                          <w:divsChild>
                            <w:div w:id="1344044624">
                              <w:marLeft w:val="0"/>
                              <w:marRight w:val="0"/>
                              <w:marTop w:val="0"/>
                              <w:marBottom w:val="0"/>
                              <w:divBdr>
                                <w:top w:val="none" w:sz="0" w:space="0" w:color="auto"/>
                                <w:left w:val="none" w:sz="0" w:space="0" w:color="auto"/>
                                <w:bottom w:val="none" w:sz="0" w:space="0" w:color="auto"/>
                                <w:right w:val="none" w:sz="0" w:space="0" w:color="auto"/>
                              </w:divBdr>
                              <w:divsChild>
                                <w:div w:id="997264577">
                                  <w:marLeft w:val="0"/>
                                  <w:marRight w:val="0"/>
                                  <w:marTop w:val="0"/>
                                  <w:marBottom w:val="0"/>
                                  <w:divBdr>
                                    <w:top w:val="none" w:sz="0" w:space="0" w:color="auto"/>
                                    <w:left w:val="none" w:sz="0" w:space="0" w:color="auto"/>
                                    <w:bottom w:val="none" w:sz="0" w:space="0" w:color="auto"/>
                                    <w:right w:val="none" w:sz="0" w:space="0" w:color="auto"/>
                                  </w:divBdr>
                                  <w:divsChild>
                                    <w:div w:id="10069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555482">
      <w:bodyDiv w:val="1"/>
      <w:marLeft w:val="0"/>
      <w:marRight w:val="0"/>
      <w:marTop w:val="0"/>
      <w:marBottom w:val="0"/>
      <w:divBdr>
        <w:top w:val="none" w:sz="0" w:space="0" w:color="auto"/>
        <w:left w:val="none" w:sz="0" w:space="0" w:color="auto"/>
        <w:bottom w:val="none" w:sz="0" w:space="0" w:color="auto"/>
        <w:right w:val="none" w:sz="0" w:space="0" w:color="auto"/>
      </w:divBdr>
    </w:div>
    <w:div w:id="1401709103">
      <w:bodyDiv w:val="1"/>
      <w:marLeft w:val="0"/>
      <w:marRight w:val="0"/>
      <w:marTop w:val="0"/>
      <w:marBottom w:val="0"/>
      <w:divBdr>
        <w:top w:val="none" w:sz="0" w:space="0" w:color="auto"/>
        <w:left w:val="none" w:sz="0" w:space="0" w:color="auto"/>
        <w:bottom w:val="none" w:sz="0" w:space="0" w:color="auto"/>
        <w:right w:val="none" w:sz="0" w:space="0" w:color="auto"/>
      </w:divBdr>
    </w:div>
    <w:div w:id="1604073897">
      <w:bodyDiv w:val="1"/>
      <w:marLeft w:val="0"/>
      <w:marRight w:val="0"/>
      <w:marTop w:val="0"/>
      <w:marBottom w:val="0"/>
      <w:divBdr>
        <w:top w:val="none" w:sz="0" w:space="0" w:color="auto"/>
        <w:left w:val="none" w:sz="0" w:space="0" w:color="auto"/>
        <w:bottom w:val="none" w:sz="0" w:space="0" w:color="auto"/>
        <w:right w:val="none" w:sz="0" w:space="0" w:color="auto"/>
      </w:divBdr>
    </w:div>
    <w:div w:id="1778593798">
      <w:bodyDiv w:val="1"/>
      <w:marLeft w:val="0"/>
      <w:marRight w:val="0"/>
      <w:marTop w:val="0"/>
      <w:marBottom w:val="0"/>
      <w:divBdr>
        <w:top w:val="none" w:sz="0" w:space="0" w:color="auto"/>
        <w:left w:val="none" w:sz="0" w:space="0" w:color="auto"/>
        <w:bottom w:val="none" w:sz="0" w:space="0" w:color="auto"/>
        <w:right w:val="none" w:sz="0" w:space="0" w:color="auto"/>
      </w:divBdr>
    </w:div>
    <w:div w:id="1905136449">
      <w:bodyDiv w:val="1"/>
      <w:marLeft w:val="0"/>
      <w:marRight w:val="0"/>
      <w:marTop w:val="0"/>
      <w:marBottom w:val="0"/>
      <w:divBdr>
        <w:top w:val="none" w:sz="0" w:space="0" w:color="auto"/>
        <w:left w:val="none" w:sz="0" w:space="0" w:color="auto"/>
        <w:bottom w:val="none" w:sz="0" w:space="0" w:color="auto"/>
        <w:right w:val="none" w:sz="0" w:space="0" w:color="auto"/>
      </w:divBdr>
    </w:div>
    <w:div w:id="1934119781">
      <w:bodyDiv w:val="1"/>
      <w:marLeft w:val="0"/>
      <w:marRight w:val="0"/>
      <w:marTop w:val="0"/>
      <w:marBottom w:val="0"/>
      <w:divBdr>
        <w:top w:val="none" w:sz="0" w:space="0" w:color="auto"/>
        <w:left w:val="none" w:sz="0" w:space="0" w:color="auto"/>
        <w:bottom w:val="none" w:sz="0" w:space="0" w:color="auto"/>
        <w:right w:val="none" w:sz="0" w:space="0" w:color="auto"/>
      </w:divBdr>
    </w:div>
    <w:div w:id="200501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TAKING STOCK OF EFFICIENCY PLANS</vt:lpstr>
    </vt:vector>
  </TitlesOfParts>
  <Company>IPF</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STOCK OF EFFICIENCY PLANS</dc:title>
  <dc:creator>LizS</dc:creator>
  <cp:lastModifiedBy>Dayo, Karen</cp:lastModifiedBy>
  <cp:revision>5</cp:revision>
  <cp:lastPrinted>2017-02-23T15:47:00Z</cp:lastPrinted>
  <dcterms:created xsi:type="dcterms:W3CDTF">2018-03-21T15:38:00Z</dcterms:created>
  <dcterms:modified xsi:type="dcterms:W3CDTF">2018-04-27T14:12:00Z</dcterms:modified>
</cp:coreProperties>
</file>