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B3" w:rsidRPr="002F48B3" w:rsidRDefault="002F48B3" w:rsidP="002F48B3">
      <w:pPr>
        <w:jc w:val="center"/>
        <w:rPr>
          <w:rFonts w:ascii="Verdana" w:eastAsia="Calibri" w:hAnsi="Verdana" w:cs="Times New Roman"/>
          <w:b/>
          <w:color w:val="800080"/>
          <w:sz w:val="36"/>
          <w:szCs w:val="36"/>
          <w:lang w:val="en-US"/>
        </w:rPr>
      </w:pPr>
      <w:r w:rsidRPr="002F48B3">
        <w:rPr>
          <w:rFonts w:ascii="Verdana" w:eastAsia="Calibri" w:hAnsi="Verdana" w:cs="Times New Roman"/>
          <w:b/>
          <w:color w:val="800080"/>
          <w:sz w:val="36"/>
          <w:szCs w:val="36"/>
          <w:lang w:val="en-US"/>
        </w:rPr>
        <w:t xml:space="preserve">CIPFA\ quick guide to service charges </w:t>
      </w:r>
    </w:p>
    <w:p w:rsidR="002F48B3" w:rsidRPr="002F48B3" w:rsidRDefault="002F48B3" w:rsidP="002F48B3">
      <w:pPr>
        <w:jc w:val="center"/>
        <w:rPr>
          <w:rFonts w:ascii="Verdana" w:eastAsia="Calibri" w:hAnsi="Verdana" w:cs="Times New Roman"/>
          <w:b/>
          <w:color w:val="800080"/>
          <w:sz w:val="16"/>
          <w:szCs w:val="16"/>
          <w:lang w:val="en-US"/>
        </w:rPr>
      </w:pPr>
    </w:p>
    <w:tbl>
      <w:tblPr>
        <w:tblW w:w="4998" w:type="pct"/>
        <w:jc w:val="center"/>
        <w:tblInd w:w="5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
        <w:gridCol w:w="5528"/>
        <w:gridCol w:w="5164"/>
      </w:tblGrid>
      <w:tr w:rsidR="002F48B3" w:rsidRPr="002F48B3" w:rsidTr="00962C23">
        <w:trPr>
          <w:trHeight w:val="773"/>
          <w:jc w:val="center"/>
        </w:trPr>
        <w:tc>
          <w:tcPr>
            <w:tcW w:w="2587" w:type="pct"/>
            <w:gridSpan w:val="2"/>
            <w:shd w:val="clear" w:color="auto" w:fill="auto"/>
            <w:vAlign w:val="center"/>
          </w:tcPr>
          <w:p w:rsidR="002F48B3" w:rsidRPr="002F48B3" w:rsidRDefault="002F48B3" w:rsidP="002F48B3">
            <w:pPr>
              <w:spacing w:before="120" w:after="0" w:line="240" w:lineRule="auto"/>
              <w:rPr>
                <w:rFonts w:ascii="Verdana" w:eastAsia="Times New Roman" w:hAnsi="Verdana" w:cs="Times New Roman"/>
                <w:b/>
                <w:bCs/>
                <w:i/>
                <w:color w:val="B62A79"/>
                <w:sz w:val="24"/>
                <w:szCs w:val="24"/>
                <w:lang w:val="en-US"/>
              </w:rPr>
            </w:pPr>
          </w:p>
        </w:tc>
        <w:tc>
          <w:tcPr>
            <w:tcW w:w="2413" w:type="pct"/>
            <w:shd w:val="clear" w:color="auto" w:fill="auto"/>
            <w:vAlign w:val="center"/>
          </w:tcPr>
          <w:p w:rsidR="002F48B3" w:rsidRPr="002F48B3" w:rsidRDefault="002F48B3" w:rsidP="002F48B3">
            <w:pPr>
              <w:spacing w:before="120" w:after="0" w:line="240" w:lineRule="auto"/>
              <w:jc w:val="right"/>
              <w:rPr>
                <w:rFonts w:ascii="Verdana" w:eastAsia="Times New Roman" w:hAnsi="Verdana" w:cs="Times New Roman"/>
                <w:b/>
                <w:bCs/>
                <w:i/>
                <w:color w:val="B62A79"/>
                <w:sz w:val="24"/>
                <w:szCs w:val="24"/>
                <w:lang w:val="en-US"/>
              </w:rPr>
            </w:pPr>
            <w:r w:rsidRPr="002F48B3">
              <w:rPr>
                <w:rFonts w:ascii="Verdana" w:eastAsia="Times New Roman" w:hAnsi="Verdana" w:cs="Times New Roman"/>
                <w:b/>
                <w:bCs/>
                <w:i/>
                <w:color w:val="B62A79"/>
                <w:sz w:val="24"/>
                <w:szCs w:val="24"/>
                <w:lang w:val="en-US"/>
              </w:rPr>
              <w:t>Spring 2013</w:t>
            </w:r>
          </w:p>
        </w:tc>
      </w:tr>
      <w:tr w:rsidR="002F48B3" w:rsidRPr="002F48B3" w:rsidTr="00962C23">
        <w:trPr>
          <w:gridBefore w:val="1"/>
          <w:wBefore w:w="4" w:type="pct"/>
          <w:jc w:val="center"/>
        </w:trPr>
        <w:tc>
          <w:tcPr>
            <w:tcW w:w="4996" w:type="pct"/>
            <w:gridSpan w:val="2"/>
            <w:shd w:val="clear" w:color="auto" w:fill="auto"/>
          </w:tcPr>
          <w:p w:rsidR="002F48B3" w:rsidRPr="003512AF" w:rsidRDefault="002F48B3" w:rsidP="002F48B3">
            <w:pPr>
              <w:jc w:val="both"/>
              <w:rPr>
                <w:rFonts w:ascii="Verdana" w:eastAsia="Calibri" w:hAnsi="Verdana" w:cs="Times New Roman"/>
                <w:sz w:val="18"/>
                <w:szCs w:val="18"/>
                <w:lang w:val="en-US"/>
              </w:rPr>
            </w:pPr>
            <w:r w:rsidRPr="003512AF">
              <w:rPr>
                <w:rFonts w:ascii="Verdana" w:eastAsia="Calibri" w:hAnsi="Verdana" w:cs="Times New Roman"/>
                <w:sz w:val="18"/>
                <w:szCs w:val="18"/>
                <w:lang w:val="en-US"/>
              </w:rPr>
              <w:t>Welcome to this quick guide to service charges.</w:t>
            </w:r>
          </w:p>
          <w:p w:rsidR="002F48B3" w:rsidRPr="003512AF" w:rsidRDefault="002F48B3" w:rsidP="002F48B3">
            <w:pPr>
              <w:jc w:val="both"/>
              <w:rPr>
                <w:rFonts w:ascii="Verdana" w:eastAsia="Calibri" w:hAnsi="Verdana" w:cs="Times New Roman"/>
                <w:sz w:val="18"/>
                <w:szCs w:val="18"/>
                <w:lang w:val="en-US"/>
              </w:rPr>
            </w:pPr>
            <w:r w:rsidRPr="003512AF">
              <w:rPr>
                <w:rFonts w:ascii="Verdana" w:eastAsia="Calibri" w:hAnsi="Verdana" w:cs="Times New Roman"/>
                <w:sz w:val="18"/>
                <w:szCs w:val="18"/>
                <w:lang w:val="en-US"/>
              </w:rPr>
              <w:t>This guide raises the issues you may need to consider depending on your residents and refers you to existing guidance or relevant legislation in England.</w:t>
            </w:r>
          </w:p>
          <w:p w:rsidR="002F48B3" w:rsidRPr="003512AF" w:rsidRDefault="002F48B3" w:rsidP="002F48B3">
            <w:pPr>
              <w:jc w:val="both"/>
              <w:rPr>
                <w:rFonts w:ascii="Verdana" w:eastAsia="Calibri" w:hAnsi="Verdana" w:cs="Times New Roman"/>
                <w:sz w:val="18"/>
                <w:szCs w:val="18"/>
                <w:lang w:val="en-US"/>
              </w:rPr>
            </w:pPr>
            <w:r w:rsidRPr="003512AF">
              <w:rPr>
                <w:rFonts w:ascii="Calibri" w:eastAsia="Calibri" w:hAnsi="Calibri" w:cs="Times New Roman"/>
                <w:sz w:val="18"/>
                <w:szCs w:val="18"/>
                <w:lang w:val="en-US"/>
              </w:rPr>
              <w:t xml:space="preserve"> </w:t>
            </w:r>
            <w:r w:rsidRPr="003512AF">
              <w:rPr>
                <w:rFonts w:ascii="Verdana" w:eastAsia="Calibri" w:hAnsi="Verdana" w:cs="Times New Roman"/>
                <w:sz w:val="18"/>
                <w:szCs w:val="18"/>
                <w:lang w:val="en-US"/>
              </w:rPr>
              <w:t xml:space="preserve">Service Charges – How compliant are your service charges?  Can your residents afford the services you provide for them?  If you’re not sure where to start to review your charges, read this handy guide just published by the CIPFA Housing Panel.  </w:t>
            </w:r>
          </w:p>
          <w:p w:rsidR="002F48B3" w:rsidRPr="003512AF" w:rsidRDefault="002F48B3" w:rsidP="002F48B3">
            <w:pPr>
              <w:jc w:val="both"/>
              <w:rPr>
                <w:rFonts w:ascii="Verdana" w:eastAsia="Calibri" w:hAnsi="Verdana" w:cs="Times New Roman"/>
                <w:sz w:val="18"/>
                <w:szCs w:val="18"/>
                <w:lang w:val="en-US"/>
              </w:rPr>
            </w:pPr>
            <w:r w:rsidRPr="003512AF">
              <w:rPr>
                <w:rFonts w:ascii="Verdana" w:eastAsia="Calibri" w:hAnsi="Verdana" w:cs="Times New Roman"/>
                <w:sz w:val="18"/>
                <w:szCs w:val="18"/>
                <w:lang w:val="en-US"/>
              </w:rPr>
              <w:t xml:space="preserve">The guide is brought to you by </w:t>
            </w:r>
            <w:r w:rsidR="003512AF" w:rsidRPr="003512AF">
              <w:rPr>
                <w:rFonts w:ascii="Verdana" w:eastAsia="Calibri" w:hAnsi="Verdana" w:cs="Times New Roman"/>
                <w:sz w:val="18"/>
                <w:szCs w:val="18"/>
                <w:lang w:val="en-US"/>
              </w:rPr>
              <w:t xml:space="preserve">the </w:t>
            </w:r>
            <w:r w:rsidRPr="003512AF">
              <w:rPr>
                <w:rFonts w:ascii="Verdana" w:eastAsia="Calibri" w:hAnsi="Verdana" w:cs="Times New Roman"/>
                <w:sz w:val="18"/>
                <w:szCs w:val="18"/>
                <w:lang w:val="en-US"/>
              </w:rPr>
              <w:t xml:space="preserve">CIPFA Housing Panel </w:t>
            </w:r>
            <w:r w:rsidR="007B1D93" w:rsidRPr="003512AF">
              <w:rPr>
                <w:rFonts w:ascii="Verdana" w:eastAsia="Calibri" w:hAnsi="Verdana" w:cs="Times New Roman"/>
                <w:sz w:val="18"/>
                <w:szCs w:val="18"/>
                <w:lang w:val="en-US"/>
              </w:rPr>
              <w:t>in co-operation with the National Housing Federation</w:t>
            </w:r>
            <w:r w:rsidRPr="003512AF">
              <w:rPr>
                <w:rFonts w:ascii="Verdana" w:eastAsia="Calibri" w:hAnsi="Verdana" w:cs="Times New Roman"/>
                <w:sz w:val="18"/>
                <w:szCs w:val="18"/>
                <w:lang w:val="en-US"/>
              </w:rPr>
              <w:t>.</w:t>
            </w:r>
          </w:p>
          <w:p w:rsidR="002F48B3" w:rsidRPr="003512AF" w:rsidRDefault="002F48B3" w:rsidP="002F48B3">
            <w:pPr>
              <w:autoSpaceDE w:val="0"/>
              <w:autoSpaceDN w:val="0"/>
              <w:adjustRightInd w:val="0"/>
              <w:rPr>
                <w:rFonts w:ascii="Verdana" w:eastAsia="Calibri" w:hAnsi="Verdana" w:cs="Verdana"/>
                <w:color w:val="000000"/>
                <w:sz w:val="18"/>
                <w:szCs w:val="18"/>
                <w:lang w:val="en" w:eastAsia="en-GB"/>
              </w:rPr>
            </w:pPr>
            <w:r w:rsidRPr="003512AF">
              <w:rPr>
                <w:rFonts w:ascii="Verdana" w:eastAsia="Calibri" w:hAnsi="Verdana" w:cs="Verdana"/>
                <w:color w:val="000000"/>
                <w:sz w:val="18"/>
                <w:szCs w:val="18"/>
                <w:lang w:val="en-US" w:eastAsia="en-GB"/>
              </w:rPr>
              <w:t>CIPFA’s Housing Panel would like to thank the author, Pascale M</w:t>
            </w:r>
            <w:r w:rsidR="007B1D93" w:rsidRPr="003512AF">
              <w:rPr>
                <w:rFonts w:ascii="Verdana" w:eastAsia="Calibri" w:hAnsi="Verdana" w:cs="Verdana"/>
                <w:color w:val="000000"/>
                <w:sz w:val="18"/>
                <w:szCs w:val="18"/>
                <w:lang w:val="en-US" w:eastAsia="en-GB"/>
              </w:rPr>
              <w:t>é</w:t>
            </w:r>
            <w:r w:rsidRPr="003512AF">
              <w:rPr>
                <w:rFonts w:ascii="Verdana" w:eastAsia="Calibri" w:hAnsi="Verdana" w:cs="Verdana"/>
                <w:color w:val="000000"/>
                <w:sz w:val="18"/>
                <w:szCs w:val="18"/>
                <w:lang w:val="en-US" w:eastAsia="en-GB"/>
              </w:rPr>
              <w:t xml:space="preserve">zac, a long-standing member of the Housing Panel.  </w:t>
            </w:r>
          </w:p>
          <w:p w:rsidR="002F48B3" w:rsidRPr="002F48B3" w:rsidRDefault="002F48B3" w:rsidP="002F48B3">
            <w:pPr>
              <w:keepNext/>
              <w:keepLines/>
              <w:pBdr>
                <w:bottom w:val="single" w:sz="4" w:space="1" w:color="652D89"/>
              </w:pBdr>
              <w:spacing w:before="240" w:after="240" w:line="240" w:lineRule="auto"/>
              <w:outlineLvl w:val="0"/>
              <w:rPr>
                <w:rFonts w:ascii="Verdana" w:eastAsia="Times New Roman" w:hAnsi="Verdana" w:cs="Times New Roman"/>
                <w:b/>
                <w:bCs/>
                <w:color w:val="652D89"/>
                <w:sz w:val="24"/>
                <w:szCs w:val="28"/>
                <w:lang w:val="en-US"/>
              </w:rPr>
            </w:pPr>
            <w:bookmarkStart w:id="0" w:name="_Toc289187084"/>
          </w:p>
          <w:p w:rsidR="002F48B3" w:rsidRPr="002F48B3" w:rsidRDefault="002F48B3" w:rsidP="002F48B3">
            <w:pPr>
              <w:keepNext/>
              <w:keepLines/>
              <w:pBdr>
                <w:bottom w:val="single" w:sz="4" w:space="1" w:color="652D89"/>
              </w:pBdr>
              <w:spacing w:before="240" w:after="240" w:line="240" w:lineRule="auto"/>
              <w:outlineLvl w:val="0"/>
              <w:rPr>
                <w:rFonts w:ascii="Verdana" w:eastAsia="Times New Roman" w:hAnsi="Verdana" w:cs="Times New Roman"/>
                <w:b/>
                <w:bCs/>
                <w:color w:val="652D89"/>
                <w:sz w:val="24"/>
                <w:szCs w:val="28"/>
                <w:lang w:val="en-US"/>
              </w:rPr>
            </w:pPr>
            <w:r w:rsidRPr="002F48B3">
              <w:rPr>
                <w:rFonts w:ascii="Verdana" w:eastAsia="Times New Roman" w:hAnsi="Verdana" w:cs="Times New Roman"/>
                <w:b/>
                <w:bCs/>
                <w:color w:val="652D89"/>
                <w:sz w:val="24"/>
                <w:szCs w:val="28"/>
                <w:lang w:val="en-US"/>
              </w:rPr>
              <w:t>Contributions, Subscribing, Contacts</w:t>
            </w:r>
            <w:bookmarkEnd w:id="0"/>
          </w:p>
          <w:p w:rsidR="002F48B3" w:rsidRPr="002F48B3" w:rsidRDefault="002F48B3" w:rsidP="002F48B3">
            <w:pPr>
              <w:jc w:val="both"/>
              <w:rPr>
                <w:rFonts w:ascii="Verdana" w:eastAsia="Calibri" w:hAnsi="Verdana" w:cs="Times New Roman"/>
                <w:sz w:val="20"/>
                <w:szCs w:val="20"/>
                <w:lang w:val="en-US"/>
              </w:rPr>
            </w:pPr>
            <w:r w:rsidRPr="002F48B3">
              <w:rPr>
                <w:rFonts w:ascii="Verdana" w:eastAsia="Calibri" w:hAnsi="Verdana" w:cs="Times New Roman"/>
                <w:sz w:val="20"/>
                <w:szCs w:val="20"/>
                <w:lang w:val="en-US"/>
              </w:rPr>
              <w:t>Please send any questions or comments you may have to lesley.lodge@cipfa.org  (Lesley Lodge is Finance &amp; Policy Manager, Housing)</w:t>
            </w:r>
          </w:p>
          <w:p w:rsidR="002F48B3" w:rsidRPr="002F48B3" w:rsidRDefault="002F48B3" w:rsidP="002F48B3">
            <w:pPr>
              <w:jc w:val="both"/>
              <w:rPr>
                <w:rFonts w:ascii="Verdana" w:eastAsia="Calibri" w:hAnsi="Verdana" w:cs="Times New Roman"/>
                <w:b/>
                <w:sz w:val="20"/>
                <w:szCs w:val="20"/>
                <w:lang w:val="en-US"/>
              </w:rPr>
            </w:pPr>
            <w:r w:rsidRPr="002F48B3">
              <w:rPr>
                <w:rFonts w:ascii="Verdana" w:eastAsia="Calibri" w:hAnsi="Verdana" w:cs="Times New Roman"/>
                <w:sz w:val="20"/>
                <w:szCs w:val="20"/>
                <w:lang w:val="en-US"/>
              </w:rPr>
              <w:t>If you would like to receive and future bulletins or quick guides, please contact</w:t>
            </w:r>
            <w:r w:rsidRPr="002F48B3">
              <w:rPr>
                <w:rFonts w:ascii="Verdana" w:eastAsia="Calibri" w:hAnsi="Verdana" w:cs="Times New Roman"/>
                <w:b/>
                <w:sz w:val="20"/>
                <w:szCs w:val="20"/>
                <w:lang w:val="en-US"/>
              </w:rPr>
              <w:t xml:space="preserve">: </w:t>
            </w:r>
            <w:hyperlink r:id="rId7" w:history="1">
              <w:r w:rsidRPr="002F48B3">
                <w:rPr>
                  <w:rFonts w:ascii="Verdana" w:eastAsia="Calibri" w:hAnsi="Verdana" w:cs="Times New Roman"/>
                  <w:color w:val="B62A79"/>
                  <w:sz w:val="20"/>
                  <w:szCs w:val="20"/>
                  <w:u w:val="single"/>
                  <w:lang w:val="en-US"/>
                </w:rPr>
                <w:t>julian.smith@cipfa.org</w:t>
              </w:r>
            </w:hyperlink>
            <w:r w:rsidRPr="002F48B3">
              <w:rPr>
                <w:rFonts w:ascii="Verdana" w:eastAsia="Calibri" w:hAnsi="Verdana" w:cs="Times New Roman"/>
                <w:b/>
                <w:sz w:val="20"/>
                <w:szCs w:val="20"/>
                <w:lang w:val="en-US"/>
              </w:rPr>
              <w:t xml:space="preserve">  </w:t>
            </w:r>
          </w:p>
          <w:p w:rsidR="002F48B3" w:rsidRPr="002F48B3" w:rsidRDefault="002F48B3" w:rsidP="002F48B3">
            <w:pPr>
              <w:jc w:val="both"/>
              <w:rPr>
                <w:rFonts w:ascii="Verdana" w:eastAsia="Calibri" w:hAnsi="Verdana" w:cs="Times New Roman"/>
                <w:sz w:val="20"/>
                <w:szCs w:val="20"/>
                <w:lang w:val="en-US"/>
              </w:rPr>
            </w:pPr>
            <w:r w:rsidRPr="002F48B3">
              <w:rPr>
                <w:rFonts w:ascii="Verdana" w:eastAsia="Calibri" w:hAnsi="Verdana" w:cs="Times New Roman"/>
                <w:sz w:val="20"/>
                <w:szCs w:val="20"/>
                <w:lang w:val="en-US"/>
              </w:rPr>
              <w:t xml:space="preserve">Further </w:t>
            </w:r>
            <w:smartTag w:uri="urn:schemas-microsoft-com:office:smarttags" w:element="PersonName">
              <w:r w:rsidRPr="002F48B3">
                <w:rPr>
                  <w:rFonts w:ascii="Verdana" w:eastAsia="Calibri" w:hAnsi="Verdana" w:cs="Times New Roman"/>
                  <w:sz w:val="20"/>
                  <w:szCs w:val="20"/>
                  <w:lang w:val="en-US"/>
                </w:rPr>
                <w:t>in</w:t>
              </w:r>
            </w:smartTag>
            <w:r w:rsidRPr="002F48B3">
              <w:rPr>
                <w:rFonts w:ascii="Verdana" w:eastAsia="Calibri" w:hAnsi="Verdana" w:cs="Times New Roman"/>
                <w:sz w:val="20"/>
                <w:szCs w:val="20"/>
                <w:lang w:val="en-US"/>
              </w:rPr>
              <w:t xml:space="preserve">formation about the panel’s activities and publications is available at the CIPFA website: </w:t>
            </w:r>
          </w:p>
          <w:p w:rsidR="002F48B3" w:rsidRPr="002F48B3" w:rsidRDefault="005D602A" w:rsidP="002F48B3">
            <w:pPr>
              <w:jc w:val="both"/>
              <w:rPr>
                <w:rFonts w:ascii="Verdana" w:eastAsia="Calibri" w:hAnsi="Verdana" w:cs="Times New Roman"/>
                <w:sz w:val="20"/>
                <w:szCs w:val="20"/>
                <w:lang w:val="en-US"/>
              </w:rPr>
            </w:pPr>
            <w:hyperlink r:id="rId8" w:history="1">
              <w:r w:rsidR="002F48B3" w:rsidRPr="002F48B3">
                <w:rPr>
                  <w:rFonts w:ascii="Verdana" w:eastAsia="Calibri" w:hAnsi="Verdana" w:cs="Times New Roman"/>
                  <w:color w:val="B62A79"/>
                  <w:sz w:val="20"/>
                  <w:szCs w:val="20"/>
                  <w:u w:val="single"/>
                  <w:lang w:val="en-US"/>
                </w:rPr>
                <w:t>http://www.cipfa.org/Policy-and-Guidance/Technical-Panels-and-Boards/Housing-Panel</w:t>
              </w:r>
            </w:hyperlink>
          </w:p>
          <w:p w:rsidR="002F48B3" w:rsidRPr="002F48B3" w:rsidRDefault="002F48B3" w:rsidP="002F48B3">
            <w:pPr>
              <w:jc w:val="both"/>
              <w:rPr>
                <w:rFonts w:ascii="Verdana" w:eastAsia="Calibri" w:hAnsi="Verdana" w:cs="Times New Roman"/>
                <w:sz w:val="20"/>
                <w:szCs w:val="20"/>
                <w:lang w:val="en-US"/>
              </w:rPr>
            </w:pPr>
            <w:r w:rsidRPr="002F48B3">
              <w:rPr>
                <w:rFonts w:ascii="Verdana" w:eastAsia="Calibri" w:hAnsi="Verdana" w:cs="Times New Roman"/>
                <w:sz w:val="20"/>
                <w:szCs w:val="20"/>
                <w:lang w:val="en-US"/>
              </w:rPr>
              <w:t>or from the Panel Support Officer, Julian Smith, email</w:t>
            </w:r>
            <w:r w:rsidRPr="002F48B3">
              <w:rPr>
                <w:rFonts w:ascii="Verdana" w:eastAsia="Calibri" w:hAnsi="Verdana" w:cs="Times New Roman"/>
                <w:b/>
                <w:sz w:val="20"/>
                <w:szCs w:val="20"/>
                <w:lang w:val="en-US"/>
              </w:rPr>
              <w:t xml:space="preserve">: </w:t>
            </w:r>
            <w:hyperlink r:id="rId9" w:history="1">
              <w:r w:rsidRPr="002F48B3">
                <w:rPr>
                  <w:rFonts w:ascii="Verdana" w:eastAsia="Calibri" w:hAnsi="Verdana" w:cs="Times New Roman"/>
                  <w:color w:val="B62A79"/>
                  <w:sz w:val="20"/>
                  <w:szCs w:val="20"/>
                  <w:u w:val="single"/>
                  <w:lang w:val="en-US"/>
                </w:rPr>
                <w:t>julian.smith@cipfa.org</w:t>
              </w:r>
            </w:hyperlink>
            <w:r w:rsidRPr="002F48B3">
              <w:rPr>
                <w:rFonts w:ascii="Verdana" w:eastAsia="Calibri" w:hAnsi="Verdana" w:cs="Times New Roman"/>
                <w:sz w:val="20"/>
                <w:szCs w:val="20"/>
                <w:lang w:val="en-US"/>
              </w:rPr>
              <w:t xml:space="preserve"> </w:t>
            </w:r>
          </w:p>
          <w:p w:rsidR="002F48B3" w:rsidRPr="002F48B3" w:rsidRDefault="002F48B3" w:rsidP="002F48B3">
            <w:pPr>
              <w:keepNext/>
              <w:keepLines/>
              <w:pBdr>
                <w:bottom w:val="single" w:sz="4" w:space="1" w:color="652D89"/>
              </w:pBdr>
              <w:spacing w:before="240" w:after="240" w:line="240" w:lineRule="auto"/>
              <w:outlineLvl w:val="0"/>
              <w:rPr>
                <w:rFonts w:ascii="Verdana" w:eastAsia="Times New Roman" w:hAnsi="Verdana" w:cs="Times New Roman"/>
                <w:b/>
                <w:bCs/>
                <w:color w:val="652D89"/>
                <w:sz w:val="24"/>
                <w:szCs w:val="28"/>
                <w:lang w:val="en-US"/>
              </w:rPr>
            </w:pPr>
          </w:p>
          <w:p w:rsidR="002F48B3" w:rsidRPr="002F48B3" w:rsidRDefault="002F48B3" w:rsidP="002F48B3">
            <w:pPr>
              <w:keepNext/>
              <w:keepLines/>
              <w:pBdr>
                <w:bottom w:val="single" w:sz="4" w:space="1" w:color="652D89"/>
              </w:pBdr>
              <w:spacing w:before="240" w:after="240" w:line="240" w:lineRule="auto"/>
              <w:outlineLvl w:val="0"/>
              <w:rPr>
                <w:rFonts w:ascii="Verdana" w:eastAsia="Times New Roman" w:hAnsi="Verdana" w:cs="Times New Roman"/>
                <w:b/>
                <w:bCs/>
                <w:color w:val="652D89"/>
                <w:sz w:val="24"/>
                <w:szCs w:val="28"/>
                <w:lang w:val="en-US"/>
              </w:rPr>
            </w:pPr>
            <w:r w:rsidRPr="002F48B3">
              <w:rPr>
                <w:rFonts w:ascii="Verdana" w:eastAsia="Times New Roman" w:hAnsi="Verdana" w:cs="Times New Roman"/>
                <w:b/>
                <w:bCs/>
                <w:color w:val="652D89"/>
                <w:sz w:val="24"/>
                <w:szCs w:val="28"/>
                <w:lang w:val="en-US"/>
              </w:rPr>
              <w:t>Model accounts for housing associations</w:t>
            </w:r>
          </w:p>
          <w:p w:rsidR="002F48B3" w:rsidRPr="002F48B3" w:rsidRDefault="002F48B3" w:rsidP="002F48B3">
            <w:pPr>
              <w:jc w:val="both"/>
              <w:rPr>
                <w:rFonts w:ascii="Verdana" w:eastAsia="Calibri" w:hAnsi="Verdana" w:cs="Arial"/>
                <w:sz w:val="20"/>
                <w:szCs w:val="20"/>
                <w:lang w:val="en-US"/>
              </w:rPr>
            </w:pPr>
            <w:r w:rsidRPr="002F48B3">
              <w:rPr>
                <w:rFonts w:ascii="Verdana" w:eastAsia="Calibri" w:hAnsi="Verdana" w:cs="Arial"/>
                <w:sz w:val="20"/>
                <w:szCs w:val="20"/>
                <w:lang w:val="en-US"/>
              </w:rPr>
              <w:t>Colleagues working in housing association finance may find the model sets of accounts on the panel website (link as above) helpful.  CIPFA is grateful to Grant Thornton for sharing them.</w:t>
            </w:r>
          </w:p>
        </w:tc>
      </w:tr>
    </w:tbl>
    <w:p w:rsidR="00685C99" w:rsidRDefault="00685C99" w:rsidP="00523EF1">
      <w:pPr>
        <w:spacing w:after="120" w:line="240" w:lineRule="auto"/>
        <w:rPr>
          <w:rFonts w:ascii="Arial" w:hAnsi="Arial" w:cs="Arial"/>
          <w:b/>
          <w:sz w:val="24"/>
          <w:szCs w:val="24"/>
        </w:rPr>
      </w:pPr>
    </w:p>
    <w:p w:rsidR="00685C99" w:rsidRDefault="00685C99" w:rsidP="00523EF1">
      <w:pPr>
        <w:spacing w:after="120" w:line="240" w:lineRule="auto"/>
        <w:rPr>
          <w:rFonts w:ascii="Arial" w:hAnsi="Arial" w:cs="Arial"/>
          <w:b/>
          <w:sz w:val="24"/>
          <w:szCs w:val="24"/>
        </w:rPr>
      </w:pPr>
    </w:p>
    <w:p w:rsidR="00685C99" w:rsidRDefault="00685C99" w:rsidP="00523EF1">
      <w:pPr>
        <w:spacing w:after="120" w:line="240" w:lineRule="auto"/>
        <w:rPr>
          <w:rFonts w:ascii="Arial" w:hAnsi="Arial" w:cs="Arial"/>
          <w:b/>
          <w:sz w:val="24"/>
          <w:szCs w:val="24"/>
        </w:rPr>
      </w:pPr>
    </w:p>
    <w:p w:rsidR="00685C99" w:rsidRDefault="00685C99" w:rsidP="00523EF1">
      <w:pPr>
        <w:spacing w:after="120" w:line="240" w:lineRule="auto"/>
        <w:rPr>
          <w:rFonts w:ascii="Arial" w:hAnsi="Arial" w:cs="Arial"/>
          <w:b/>
          <w:sz w:val="24"/>
          <w:szCs w:val="24"/>
        </w:rPr>
      </w:pPr>
    </w:p>
    <w:p w:rsidR="00685C99" w:rsidRDefault="00685C99" w:rsidP="00523EF1">
      <w:pPr>
        <w:spacing w:after="120" w:line="240" w:lineRule="auto"/>
        <w:rPr>
          <w:rFonts w:ascii="Arial" w:hAnsi="Arial" w:cs="Arial"/>
          <w:b/>
          <w:sz w:val="24"/>
          <w:szCs w:val="24"/>
        </w:rPr>
      </w:pPr>
    </w:p>
    <w:p w:rsidR="00685C99" w:rsidRDefault="00685C99" w:rsidP="00523EF1">
      <w:pPr>
        <w:spacing w:after="120" w:line="240" w:lineRule="auto"/>
        <w:rPr>
          <w:rFonts w:ascii="Arial" w:hAnsi="Arial" w:cs="Arial"/>
          <w:b/>
          <w:sz w:val="24"/>
          <w:szCs w:val="24"/>
        </w:rPr>
      </w:pPr>
    </w:p>
    <w:p w:rsidR="00685C99" w:rsidRDefault="00685C99" w:rsidP="00523EF1">
      <w:pPr>
        <w:spacing w:after="120" w:line="240" w:lineRule="auto"/>
        <w:rPr>
          <w:rFonts w:ascii="Arial" w:hAnsi="Arial" w:cs="Arial"/>
          <w:b/>
          <w:sz w:val="24"/>
          <w:szCs w:val="24"/>
        </w:rPr>
      </w:pPr>
    </w:p>
    <w:p w:rsidR="00685C99" w:rsidRDefault="00685C99" w:rsidP="00523EF1">
      <w:pPr>
        <w:spacing w:after="120" w:line="240" w:lineRule="auto"/>
        <w:rPr>
          <w:rFonts w:ascii="Arial" w:hAnsi="Arial" w:cs="Arial"/>
          <w:b/>
          <w:sz w:val="24"/>
          <w:szCs w:val="24"/>
        </w:rPr>
      </w:pPr>
    </w:p>
    <w:p w:rsidR="00685C99" w:rsidRDefault="00685C99" w:rsidP="00523EF1">
      <w:pPr>
        <w:spacing w:after="120" w:line="240" w:lineRule="auto"/>
        <w:rPr>
          <w:rFonts w:ascii="Arial" w:hAnsi="Arial" w:cs="Arial"/>
          <w:b/>
          <w:sz w:val="24"/>
          <w:szCs w:val="24"/>
        </w:rPr>
      </w:pPr>
    </w:p>
    <w:p w:rsidR="00685C99" w:rsidRDefault="00685C99" w:rsidP="00523EF1">
      <w:pPr>
        <w:spacing w:after="120" w:line="240" w:lineRule="auto"/>
        <w:rPr>
          <w:rFonts w:ascii="Arial" w:hAnsi="Arial" w:cs="Arial"/>
          <w:b/>
          <w:sz w:val="24"/>
          <w:szCs w:val="24"/>
        </w:rPr>
      </w:pPr>
    </w:p>
    <w:p w:rsidR="00685C99" w:rsidRDefault="00685C99" w:rsidP="00523EF1">
      <w:pPr>
        <w:spacing w:after="120" w:line="240" w:lineRule="auto"/>
        <w:rPr>
          <w:rFonts w:ascii="Arial" w:hAnsi="Arial" w:cs="Arial"/>
          <w:b/>
          <w:sz w:val="24"/>
          <w:szCs w:val="24"/>
        </w:rPr>
      </w:pPr>
    </w:p>
    <w:p w:rsidR="00685C99" w:rsidRDefault="00685C99" w:rsidP="00523EF1">
      <w:pPr>
        <w:spacing w:after="120" w:line="240" w:lineRule="auto"/>
        <w:rPr>
          <w:rFonts w:ascii="Arial" w:hAnsi="Arial" w:cs="Arial"/>
          <w:b/>
          <w:sz w:val="24"/>
          <w:szCs w:val="24"/>
        </w:rPr>
      </w:pPr>
    </w:p>
    <w:p w:rsidR="003512AF" w:rsidRDefault="003512AF" w:rsidP="00523EF1">
      <w:pPr>
        <w:spacing w:after="120" w:line="240" w:lineRule="auto"/>
        <w:rPr>
          <w:rFonts w:ascii="Arial" w:hAnsi="Arial" w:cs="Arial"/>
          <w:b/>
          <w:sz w:val="24"/>
          <w:szCs w:val="24"/>
        </w:rPr>
      </w:pPr>
    </w:p>
    <w:p w:rsidR="00BD2F41" w:rsidRPr="006A50AC" w:rsidRDefault="004C0709" w:rsidP="00523EF1">
      <w:pPr>
        <w:spacing w:after="120" w:line="240" w:lineRule="auto"/>
        <w:rPr>
          <w:rFonts w:ascii="Arial" w:hAnsi="Arial" w:cs="Arial"/>
          <w:b/>
          <w:sz w:val="24"/>
          <w:szCs w:val="24"/>
        </w:rPr>
      </w:pPr>
      <w:r w:rsidRPr="006A50AC">
        <w:rPr>
          <w:rFonts w:ascii="Arial" w:hAnsi="Arial" w:cs="Arial"/>
          <w:b/>
          <w:sz w:val="24"/>
          <w:szCs w:val="24"/>
        </w:rPr>
        <w:lastRenderedPageBreak/>
        <w:t>SERVICE CHARGES</w:t>
      </w:r>
      <w:r w:rsidR="003378BF">
        <w:rPr>
          <w:rFonts w:ascii="Arial" w:hAnsi="Arial" w:cs="Arial"/>
          <w:b/>
          <w:sz w:val="24"/>
          <w:szCs w:val="24"/>
        </w:rPr>
        <w:t xml:space="preserve"> – QUICK GUIDE </w:t>
      </w:r>
    </w:p>
    <w:p w:rsidR="00736A43" w:rsidRPr="006A50AC" w:rsidRDefault="004C0709" w:rsidP="00523EF1">
      <w:pPr>
        <w:spacing w:after="120" w:line="240" w:lineRule="auto"/>
        <w:rPr>
          <w:rFonts w:ascii="Arial" w:hAnsi="Arial" w:cs="Arial"/>
          <w:sz w:val="24"/>
          <w:szCs w:val="24"/>
        </w:rPr>
      </w:pPr>
      <w:r w:rsidRPr="006A50AC">
        <w:rPr>
          <w:rFonts w:ascii="Arial" w:hAnsi="Arial" w:cs="Arial"/>
          <w:sz w:val="24"/>
          <w:szCs w:val="24"/>
        </w:rPr>
        <w:t>This quick guide raises the issues you may need to consider depending on your residents and refers you to existing guidance or relevant legislation</w:t>
      </w:r>
      <w:r w:rsidR="00F60B66" w:rsidRPr="006A50AC">
        <w:rPr>
          <w:rFonts w:ascii="Arial" w:hAnsi="Arial" w:cs="Arial"/>
          <w:sz w:val="24"/>
          <w:szCs w:val="24"/>
        </w:rPr>
        <w:t xml:space="preserve"> in England</w:t>
      </w:r>
      <w:r w:rsidR="008D0801">
        <w:rPr>
          <w:rFonts w:ascii="Arial" w:hAnsi="Arial" w:cs="Arial"/>
          <w:sz w:val="24"/>
          <w:szCs w:val="24"/>
        </w:rPr>
        <w:t>.</w:t>
      </w:r>
    </w:p>
    <w:p w:rsidR="00736A43" w:rsidRPr="006A50AC" w:rsidRDefault="00736A43" w:rsidP="00523EF1">
      <w:pPr>
        <w:spacing w:after="120" w:line="240" w:lineRule="auto"/>
        <w:rPr>
          <w:rFonts w:ascii="Arial" w:hAnsi="Arial" w:cs="Arial"/>
          <w:b/>
          <w:sz w:val="24"/>
          <w:szCs w:val="24"/>
        </w:rPr>
      </w:pPr>
      <w:r w:rsidRPr="006A50AC">
        <w:rPr>
          <w:rFonts w:ascii="Arial" w:hAnsi="Arial" w:cs="Arial"/>
          <w:b/>
          <w:sz w:val="24"/>
          <w:szCs w:val="24"/>
        </w:rPr>
        <w:t>The legal framework</w:t>
      </w:r>
    </w:p>
    <w:p w:rsidR="0073552C" w:rsidRPr="006A50AC" w:rsidRDefault="0085283C" w:rsidP="00523EF1">
      <w:pPr>
        <w:spacing w:after="120" w:line="24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column">
              <wp:posOffset>-104140</wp:posOffset>
            </wp:positionH>
            <wp:positionV relativeFrom="paragraph">
              <wp:posOffset>652780</wp:posOffset>
            </wp:positionV>
            <wp:extent cx="6852920" cy="5765800"/>
            <wp:effectExtent l="76200" t="57150" r="81280" b="1206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0073552C" w:rsidRPr="006A50AC">
        <w:rPr>
          <w:rFonts w:ascii="Arial" w:hAnsi="Arial" w:cs="Arial"/>
          <w:sz w:val="24"/>
          <w:szCs w:val="24"/>
        </w:rPr>
        <w:t xml:space="preserve">Be clear on time limits which may affect you: either set in legislation regarding delivering accounts within 18 months of charge incurred or set in an agreement.  </w:t>
      </w:r>
    </w:p>
    <w:p w:rsidR="008D0801" w:rsidRPr="006A50AC" w:rsidRDefault="005D602A" w:rsidP="008D0801">
      <w:pPr>
        <w:spacing w:after="120" w:line="240" w:lineRule="auto"/>
        <w:rPr>
          <w:rFonts w:ascii="Arial" w:hAnsi="Arial" w:cs="Arial"/>
          <w:sz w:val="24"/>
          <w:szCs w:val="24"/>
        </w:rPr>
      </w:pPr>
      <w:hyperlink r:id="rId15" w:history="1">
        <w:r w:rsidR="008D0801" w:rsidRPr="006A50AC">
          <w:rPr>
            <w:rStyle w:val="Hyperlink"/>
            <w:rFonts w:ascii="Arial" w:hAnsi="Arial" w:cs="Arial"/>
            <w:sz w:val="24"/>
            <w:szCs w:val="24"/>
          </w:rPr>
          <w:t>Service charges: a guide for housing associations (4th edition)</w:t>
        </w:r>
      </w:hyperlink>
      <w:r w:rsidR="008D0801" w:rsidRPr="006A50AC">
        <w:rPr>
          <w:rFonts w:ascii="Arial" w:hAnsi="Arial" w:cs="Arial"/>
          <w:sz w:val="24"/>
          <w:szCs w:val="24"/>
        </w:rPr>
        <w:t xml:space="preserve"> </w:t>
      </w:r>
    </w:p>
    <w:p w:rsidR="00751242" w:rsidRPr="006A50AC" w:rsidRDefault="005D602A" w:rsidP="009844BB">
      <w:pPr>
        <w:spacing w:after="0" w:line="240" w:lineRule="auto"/>
        <w:rPr>
          <w:rFonts w:ascii="Arial" w:hAnsi="Arial" w:cs="Arial"/>
          <w:sz w:val="24"/>
          <w:szCs w:val="24"/>
        </w:rPr>
      </w:pPr>
      <w:hyperlink r:id="rId16" w:history="1">
        <w:r w:rsidR="00715A05" w:rsidRPr="006A50AC">
          <w:rPr>
            <w:rStyle w:val="Hyperlink"/>
            <w:rFonts w:ascii="Arial" w:hAnsi="Arial" w:cs="Arial"/>
            <w:sz w:val="24"/>
            <w:szCs w:val="24"/>
          </w:rPr>
          <w:t>Residential property tribunal</w:t>
        </w:r>
      </w:hyperlink>
      <w:r w:rsidR="00715A05" w:rsidRPr="006A50AC">
        <w:rPr>
          <w:rFonts w:ascii="Arial" w:hAnsi="Arial" w:cs="Arial"/>
          <w:sz w:val="24"/>
          <w:szCs w:val="24"/>
        </w:rPr>
        <w:t xml:space="preserve"> </w:t>
      </w:r>
      <w:r w:rsidR="0085283C">
        <w:rPr>
          <w:rFonts w:ascii="Arial" w:hAnsi="Arial" w:cs="Arial"/>
          <w:sz w:val="24"/>
          <w:szCs w:val="24"/>
        </w:rPr>
        <w:t xml:space="preserve">and </w:t>
      </w:r>
      <w:hyperlink r:id="rId17" w:history="1">
        <w:r w:rsidR="00715A05" w:rsidRPr="006A50AC">
          <w:rPr>
            <w:rStyle w:val="Hyperlink"/>
            <w:rFonts w:ascii="Arial" w:hAnsi="Arial" w:cs="Arial"/>
            <w:sz w:val="24"/>
            <w:szCs w:val="24"/>
          </w:rPr>
          <w:t>Lease advisory service charges guide</w:t>
        </w:r>
      </w:hyperlink>
    </w:p>
    <w:p w:rsidR="00751242" w:rsidRDefault="005D602A" w:rsidP="009844BB">
      <w:pPr>
        <w:spacing w:after="0" w:line="240" w:lineRule="auto"/>
        <w:rPr>
          <w:rFonts w:ascii="Arial" w:hAnsi="Arial" w:cs="Arial"/>
          <w:sz w:val="24"/>
          <w:szCs w:val="24"/>
        </w:rPr>
      </w:pPr>
      <w:hyperlink r:id="rId18" w:history="1">
        <w:r w:rsidR="00715A05" w:rsidRPr="006A50AC">
          <w:rPr>
            <w:rStyle w:val="Hyperlink"/>
            <w:rFonts w:ascii="Arial" w:hAnsi="Arial" w:cs="Arial"/>
            <w:sz w:val="24"/>
            <w:szCs w:val="24"/>
          </w:rPr>
          <w:t>RICS Service charge residential management code 2nd edition</w:t>
        </w:r>
      </w:hyperlink>
    </w:p>
    <w:p w:rsidR="0085283C" w:rsidRPr="006A50AC" w:rsidRDefault="0085283C" w:rsidP="009844BB">
      <w:pPr>
        <w:spacing w:after="0" w:line="240" w:lineRule="auto"/>
        <w:rPr>
          <w:rFonts w:ascii="Arial" w:hAnsi="Arial" w:cs="Arial"/>
          <w:sz w:val="24"/>
          <w:szCs w:val="24"/>
        </w:rPr>
      </w:pPr>
    </w:p>
    <w:p w:rsidR="008D0801" w:rsidRPr="006A50AC" w:rsidRDefault="005D602A" w:rsidP="008D0801">
      <w:pPr>
        <w:spacing w:after="0" w:line="240" w:lineRule="auto"/>
        <w:rPr>
          <w:rFonts w:ascii="Arial" w:hAnsi="Arial" w:cs="Arial"/>
          <w:color w:val="1F497D"/>
          <w:sz w:val="24"/>
          <w:szCs w:val="24"/>
        </w:rPr>
      </w:pPr>
      <w:hyperlink r:id="rId19" w:history="1">
        <w:r w:rsidR="008D0801" w:rsidRPr="006A50AC">
          <w:rPr>
            <w:rStyle w:val="Hyperlink"/>
            <w:rFonts w:ascii="Arial" w:hAnsi="Arial" w:cs="Arial"/>
            <w:sz w:val="24"/>
            <w:szCs w:val="24"/>
          </w:rPr>
          <w:t>Irish Housing Act</w:t>
        </w:r>
      </w:hyperlink>
      <w:r w:rsidR="008D0801" w:rsidRPr="006A50AC">
        <w:rPr>
          <w:rFonts w:ascii="Arial" w:hAnsi="Arial" w:cs="Arial"/>
          <w:sz w:val="24"/>
          <w:szCs w:val="24"/>
        </w:rPr>
        <w:t xml:space="preserve"> </w:t>
      </w:r>
      <w:r w:rsidR="008D0801">
        <w:rPr>
          <w:rFonts w:ascii="Arial" w:hAnsi="Arial" w:cs="Arial"/>
          <w:sz w:val="24"/>
          <w:szCs w:val="24"/>
        </w:rPr>
        <w:t xml:space="preserve">and </w:t>
      </w:r>
      <w:hyperlink r:id="rId20" w:history="1">
        <w:r w:rsidR="008D0801" w:rsidRPr="006A50AC">
          <w:rPr>
            <w:rStyle w:val="Hyperlink"/>
            <w:rFonts w:ascii="Arial" w:hAnsi="Arial" w:cs="Arial"/>
            <w:sz w:val="24"/>
            <w:szCs w:val="24"/>
          </w:rPr>
          <w:t>Northern Ireland - Housing Advice</w:t>
        </w:r>
      </w:hyperlink>
    </w:p>
    <w:p w:rsidR="0085283C" w:rsidRDefault="005D602A" w:rsidP="0085283C">
      <w:pPr>
        <w:spacing w:after="120" w:line="240" w:lineRule="auto"/>
        <w:contextualSpacing/>
        <w:rPr>
          <w:rFonts w:ascii="Arial" w:hAnsi="Arial" w:cs="Arial"/>
          <w:sz w:val="24"/>
          <w:szCs w:val="24"/>
        </w:rPr>
      </w:pPr>
      <w:hyperlink r:id="rId21" w:history="1">
        <w:r w:rsidR="0085283C" w:rsidRPr="006A50AC">
          <w:rPr>
            <w:rStyle w:val="Hyperlink"/>
            <w:rFonts w:ascii="Arial" w:hAnsi="Arial" w:cs="Arial"/>
            <w:sz w:val="24"/>
            <w:szCs w:val="24"/>
          </w:rPr>
          <w:t>The Registered Social Landlords Accounting Requirements (Scotland) Order 2007</w:t>
        </w:r>
      </w:hyperlink>
      <w:r w:rsidR="0085283C">
        <w:rPr>
          <w:rFonts w:ascii="Arial" w:hAnsi="Arial" w:cs="Arial"/>
          <w:sz w:val="24"/>
          <w:szCs w:val="24"/>
        </w:rPr>
        <w:t xml:space="preserve"> </w:t>
      </w:r>
    </w:p>
    <w:p w:rsidR="00513F6A" w:rsidRDefault="005D602A" w:rsidP="0085283C">
      <w:pPr>
        <w:spacing w:after="120" w:line="240" w:lineRule="auto"/>
        <w:contextualSpacing/>
        <w:rPr>
          <w:rFonts w:ascii="Arial" w:hAnsi="Arial" w:cs="Arial"/>
          <w:sz w:val="24"/>
          <w:szCs w:val="24"/>
        </w:rPr>
      </w:pPr>
      <w:hyperlink r:id="rId22" w:history="1">
        <w:r w:rsidR="0085283C" w:rsidRPr="006A50AC">
          <w:rPr>
            <w:rStyle w:val="Hyperlink"/>
            <w:rFonts w:ascii="Arial" w:hAnsi="Arial" w:cs="Arial"/>
            <w:color w:val="auto"/>
            <w:sz w:val="24"/>
            <w:szCs w:val="24"/>
          </w:rPr>
          <w:t>Scottish Housing Charter</w:t>
        </w:r>
      </w:hyperlink>
      <w:r w:rsidR="0085283C" w:rsidRPr="006A50AC">
        <w:rPr>
          <w:rFonts w:ascii="Arial" w:hAnsi="Arial" w:cs="Arial"/>
          <w:sz w:val="24"/>
          <w:szCs w:val="24"/>
        </w:rPr>
        <w:tab/>
      </w:r>
      <w:hyperlink r:id="rId23" w:history="1">
        <w:r w:rsidR="0085283C" w:rsidRPr="006A50AC">
          <w:rPr>
            <w:rStyle w:val="Hyperlink"/>
            <w:rFonts w:ascii="Arial" w:hAnsi="Arial" w:cs="Arial"/>
            <w:color w:val="auto"/>
            <w:sz w:val="24"/>
            <w:szCs w:val="24"/>
          </w:rPr>
          <w:t>Housing (Scotland) Act 2010</w:t>
        </w:r>
      </w:hyperlink>
      <w:r w:rsidR="0085283C" w:rsidRPr="006A50AC">
        <w:rPr>
          <w:rFonts w:ascii="Arial" w:hAnsi="Arial" w:cs="Arial"/>
          <w:sz w:val="24"/>
          <w:szCs w:val="24"/>
        </w:rPr>
        <w:t xml:space="preserve">  </w:t>
      </w:r>
    </w:p>
    <w:p w:rsidR="0085283C" w:rsidRPr="006A50AC" w:rsidRDefault="005D602A" w:rsidP="0085283C">
      <w:pPr>
        <w:spacing w:after="120" w:line="240" w:lineRule="auto"/>
        <w:rPr>
          <w:rFonts w:ascii="Arial" w:hAnsi="Arial" w:cs="Arial"/>
          <w:sz w:val="24"/>
          <w:szCs w:val="24"/>
        </w:rPr>
      </w:pPr>
      <w:hyperlink r:id="rId24" w:history="1">
        <w:r w:rsidR="0085283C" w:rsidRPr="006A50AC">
          <w:rPr>
            <w:rStyle w:val="Hyperlink"/>
            <w:rFonts w:ascii="Arial" w:hAnsi="Arial" w:cs="Arial"/>
            <w:color w:val="auto"/>
            <w:sz w:val="24"/>
            <w:szCs w:val="24"/>
          </w:rPr>
          <w:t>Model Scottish Secure Tenancy Agreement</w:t>
        </w:r>
      </w:hyperlink>
      <w:r w:rsidR="008D0801">
        <w:rPr>
          <w:rFonts w:ascii="Arial" w:hAnsi="Arial" w:cs="Arial"/>
          <w:sz w:val="24"/>
          <w:szCs w:val="24"/>
        </w:rPr>
        <w:t xml:space="preserve"> and </w:t>
      </w:r>
      <w:hyperlink r:id="rId25" w:history="1">
        <w:r w:rsidR="008D0801">
          <w:rPr>
            <w:rStyle w:val="Hyperlink"/>
            <w:rFonts w:ascii="Arial" w:hAnsi="Arial" w:cs="Arial"/>
            <w:sz w:val="24"/>
            <w:szCs w:val="24"/>
          </w:rPr>
          <w:t>Model English tenancy agreements</w:t>
        </w:r>
      </w:hyperlink>
    </w:p>
    <w:p w:rsidR="009844BB" w:rsidRPr="006A50AC" w:rsidRDefault="009844BB" w:rsidP="009844BB">
      <w:pPr>
        <w:spacing w:after="0" w:line="240" w:lineRule="auto"/>
        <w:rPr>
          <w:rFonts w:ascii="Arial" w:hAnsi="Arial" w:cs="Arial"/>
          <w:b/>
          <w:sz w:val="24"/>
          <w:szCs w:val="24"/>
        </w:rPr>
      </w:pPr>
    </w:p>
    <w:p w:rsidR="00751242" w:rsidRPr="006A50AC" w:rsidRDefault="00497C44" w:rsidP="009844BB">
      <w:pPr>
        <w:spacing w:after="0" w:line="240" w:lineRule="auto"/>
        <w:rPr>
          <w:rFonts w:ascii="Arial" w:hAnsi="Arial" w:cs="Arial"/>
          <w:b/>
          <w:sz w:val="24"/>
          <w:szCs w:val="24"/>
        </w:rPr>
      </w:pPr>
      <w:r w:rsidRPr="006A50AC">
        <w:rPr>
          <w:rFonts w:ascii="Arial" w:hAnsi="Arial" w:cs="Arial"/>
          <w:b/>
          <w:sz w:val="24"/>
          <w:szCs w:val="24"/>
        </w:rPr>
        <w:t>Disputes – arbitration</w:t>
      </w:r>
      <w:r w:rsidR="00523EF1" w:rsidRPr="006A50AC">
        <w:rPr>
          <w:rFonts w:ascii="Arial" w:hAnsi="Arial" w:cs="Arial"/>
          <w:b/>
          <w:sz w:val="24"/>
          <w:szCs w:val="24"/>
        </w:rPr>
        <w:t xml:space="preserve">, </w:t>
      </w:r>
      <w:r w:rsidRPr="006A50AC">
        <w:rPr>
          <w:rFonts w:ascii="Arial" w:hAnsi="Arial" w:cs="Arial"/>
          <w:b/>
          <w:sz w:val="24"/>
          <w:szCs w:val="24"/>
        </w:rPr>
        <w:t>tribunal</w:t>
      </w:r>
      <w:r w:rsidR="00523EF1" w:rsidRPr="006A50AC">
        <w:rPr>
          <w:rFonts w:ascii="Arial" w:hAnsi="Arial" w:cs="Arial"/>
          <w:b/>
          <w:sz w:val="24"/>
          <w:szCs w:val="24"/>
        </w:rPr>
        <w:t xml:space="preserve"> and </w:t>
      </w:r>
      <w:r w:rsidRPr="006A50AC">
        <w:rPr>
          <w:rFonts w:ascii="Arial" w:hAnsi="Arial" w:cs="Arial"/>
          <w:b/>
          <w:sz w:val="24"/>
          <w:szCs w:val="24"/>
        </w:rPr>
        <w:t xml:space="preserve">decisions </w:t>
      </w:r>
    </w:p>
    <w:p w:rsidR="002E3B43" w:rsidRPr="006A50AC" w:rsidRDefault="002E3B43" w:rsidP="009844BB">
      <w:pPr>
        <w:spacing w:after="0" w:line="240" w:lineRule="auto"/>
        <w:rPr>
          <w:rFonts w:ascii="Arial" w:hAnsi="Arial" w:cs="Arial"/>
          <w:sz w:val="24"/>
          <w:szCs w:val="24"/>
        </w:rPr>
      </w:pPr>
      <w:r w:rsidRPr="006A50AC">
        <w:rPr>
          <w:rFonts w:ascii="Arial" w:hAnsi="Arial" w:cs="Arial"/>
          <w:sz w:val="24"/>
          <w:szCs w:val="24"/>
        </w:rPr>
        <w:t xml:space="preserve">Be prepared as things may go wrong.  Good advice </w:t>
      </w:r>
      <w:r w:rsidR="009410C9" w:rsidRPr="006A50AC">
        <w:rPr>
          <w:rFonts w:ascii="Arial" w:hAnsi="Arial" w:cs="Arial"/>
          <w:sz w:val="24"/>
          <w:szCs w:val="24"/>
        </w:rPr>
        <w:t xml:space="preserve">is available </w:t>
      </w:r>
      <w:r w:rsidRPr="006A50AC">
        <w:rPr>
          <w:rFonts w:ascii="Arial" w:hAnsi="Arial" w:cs="Arial"/>
          <w:sz w:val="24"/>
          <w:szCs w:val="24"/>
        </w:rPr>
        <w:t>online, think before you make changes and check your agreements.</w:t>
      </w:r>
    </w:p>
    <w:p w:rsidR="00497C44" w:rsidRPr="006A50AC" w:rsidRDefault="005D602A" w:rsidP="009844BB">
      <w:pPr>
        <w:spacing w:after="0" w:line="240" w:lineRule="auto"/>
        <w:rPr>
          <w:rFonts w:ascii="Arial" w:hAnsi="Arial" w:cs="Arial"/>
          <w:sz w:val="24"/>
          <w:szCs w:val="24"/>
        </w:rPr>
      </w:pPr>
      <w:hyperlink r:id="rId26" w:anchor="top" w:history="1">
        <w:r w:rsidR="0085283C">
          <w:rPr>
            <w:rStyle w:val="Hyperlink"/>
            <w:rFonts w:ascii="Arial" w:hAnsi="Arial" w:cs="Arial"/>
            <w:sz w:val="24"/>
            <w:szCs w:val="24"/>
          </w:rPr>
          <w:t>Residential Property Tribunal decisions</w:t>
        </w:r>
      </w:hyperlink>
      <w:r w:rsidR="00497C44" w:rsidRPr="006A50AC">
        <w:rPr>
          <w:rFonts w:ascii="Arial" w:hAnsi="Arial" w:cs="Arial"/>
          <w:sz w:val="24"/>
          <w:szCs w:val="24"/>
        </w:rPr>
        <w:t xml:space="preserve"> </w:t>
      </w:r>
      <w:r w:rsidR="0085283C">
        <w:rPr>
          <w:rFonts w:ascii="Arial" w:hAnsi="Arial" w:cs="Arial"/>
          <w:sz w:val="24"/>
          <w:szCs w:val="24"/>
        </w:rPr>
        <w:t xml:space="preserve">or </w:t>
      </w:r>
      <w:hyperlink r:id="rId27" w:history="1">
        <w:r w:rsidR="0085283C">
          <w:rPr>
            <w:rStyle w:val="Hyperlink"/>
            <w:rFonts w:ascii="Arial" w:hAnsi="Arial" w:cs="Arial"/>
            <w:sz w:val="24"/>
            <w:szCs w:val="24"/>
          </w:rPr>
          <w:t>Ministry of Justice - decisions</w:t>
        </w:r>
      </w:hyperlink>
    </w:p>
    <w:p w:rsidR="00993199" w:rsidRPr="006A50AC" w:rsidRDefault="005D602A" w:rsidP="0085283C">
      <w:pPr>
        <w:spacing w:after="120" w:line="240" w:lineRule="auto"/>
        <w:rPr>
          <w:rFonts w:ascii="Arial" w:hAnsi="Arial" w:cs="Arial"/>
          <w:b/>
          <w:sz w:val="24"/>
          <w:szCs w:val="24"/>
        </w:rPr>
      </w:pPr>
      <w:hyperlink r:id="rId28" w:history="1">
        <w:r w:rsidR="0058711A" w:rsidRPr="006A50AC">
          <w:rPr>
            <w:rStyle w:val="Hyperlink"/>
            <w:rFonts w:ascii="Arial" w:hAnsi="Arial" w:cs="Arial"/>
            <w:sz w:val="24"/>
            <w:szCs w:val="24"/>
          </w:rPr>
          <w:t>Residential Property Tribunal for Wales</w:t>
        </w:r>
      </w:hyperlink>
      <w:r w:rsidR="00993199" w:rsidRPr="006A50AC">
        <w:rPr>
          <w:rFonts w:ascii="Arial" w:hAnsi="Arial" w:cs="Arial"/>
          <w:b/>
          <w:sz w:val="24"/>
          <w:szCs w:val="24"/>
        </w:rPr>
        <w:br w:type="page"/>
      </w:r>
    </w:p>
    <w:p w:rsidR="0009524A" w:rsidRPr="006A50AC" w:rsidRDefault="003378BF" w:rsidP="00523EF1">
      <w:pPr>
        <w:spacing w:after="120" w:line="240" w:lineRule="auto"/>
        <w:rPr>
          <w:rFonts w:ascii="Arial" w:hAnsi="Arial" w:cs="Arial"/>
          <w:b/>
          <w:sz w:val="24"/>
          <w:szCs w:val="24"/>
        </w:rPr>
      </w:pPr>
      <w:r>
        <w:rPr>
          <w:rFonts w:ascii="Arial" w:hAnsi="Arial" w:cs="Arial"/>
          <w:b/>
          <w:noProof/>
          <w:sz w:val="24"/>
          <w:szCs w:val="24"/>
          <w:lang w:eastAsia="en-GB"/>
        </w:rPr>
        <w:lastRenderedPageBreak/>
        <w:drawing>
          <wp:anchor distT="0" distB="0" distL="114300" distR="114300" simplePos="0" relativeHeight="251660288" behindDoc="0" locked="0" layoutInCell="1" allowOverlap="1">
            <wp:simplePos x="0" y="0"/>
            <wp:positionH relativeFrom="column">
              <wp:posOffset>-104140</wp:posOffset>
            </wp:positionH>
            <wp:positionV relativeFrom="paragraph">
              <wp:posOffset>311785</wp:posOffset>
            </wp:positionV>
            <wp:extent cx="6911340" cy="2573020"/>
            <wp:effectExtent l="76200" t="38100" r="80010" b="113030"/>
            <wp:wrapSquare wrapText="bothSides"/>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anchor>
        </w:drawing>
      </w:r>
      <w:r w:rsidR="0009524A" w:rsidRPr="006A50AC">
        <w:rPr>
          <w:rFonts w:ascii="Arial" w:hAnsi="Arial" w:cs="Arial"/>
          <w:b/>
          <w:sz w:val="24"/>
          <w:szCs w:val="24"/>
        </w:rPr>
        <w:t>Housing Benefit and Universal Credit</w:t>
      </w:r>
    </w:p>
    <w:p w:rsidR="00DD4E36" w:rsidRPr="00264501" w:rsidRDefault="00264501" w:rsidP="00DD4E36">
      <w:pPr>
        <w:spacing w:after="120" w:line="240" w:lineRule="auto"/>
        <w:ind w:left="360"/>
        <w:contextualSpacing/>
        <w:rPr>
          <w:rStyle w:val="Hyperlink"/>
          <w:rFonts w:ascii="Arial" w:eastAsia="Calibri" w:hAnsi="Arial" w:cs="Arial"/>
          <w:szCs w:val="24"/>
        </w:rPr>
      </w:pPr>
      <w:r>
        <w:rPr>
          <w:rFonts w:ascii="Arial" w:eastAsia="Calibri" w:hAnsi="Arial" w:cs="Arial"/>
          <w:color w:val="0000FF" w:themeColor="hyperlink"/>
          <w:szCs w:val="24"/>
          <w:u w:val="single"/>
        </w:rPr>
        <w:fldChar w:fldCharType="begin"/>
      </w:r>
      <w:r>
        <w:rPr>
          <w:rFonts w:ascii="Arial" w:eastAsia="Calibri" w:hAnsi="Arial" w:cs="Arial"/>
          <w:color w:val="0000FF" w:themeColor="hyperlink"/>
          <w:szCs w:val="24"/>
          <w:u w:val="single"/>
        </w:rPr>
        <w:instrText xml:space="preserve"> HYPERLINK "http://www.dwp.gov.uk/docs/universal-credit-service-charges-guidance-landlords.pdf" </w:instrText>
      </w:r>
      <w:r>
        <w:rPr>
          <w:rFonts w:ascii="Arial" w:eastAsia="Calibri" w:hAnsi="Arial" w:cs="Arial"/>
          <w:color w:val="0000FF" w:themeColor="hyperlink"/>
          <w:szCs w:val="24"/>
          <w:u w:val="single"/>
        </w:rPr>
      </w:r>
      <w:r>
        <w:rPr>
          <w:rFonts w:ascii="Arial" w:eastAsia="Calibri" w:hAnsi="Arial" w:cs="Arial"/>
          <w:color w:val="0000FF" w:themeColor="hyperlink"/>
          <w:szCs w:val="24"/>
          <w:u w:val="single"/>
        </w:rPr>
        <w:fldChar w:fldCharType="separate"/>
      </w:r>
      <w:r w:rsidR="00DD4E36" w:rsidRPr="00264501">
        <w:rPr>
          <w:rStyle w:val="Hyperlink"/>
          <w:rFonts w:ascii="Arial" w:eastAsia="Calibri" w:hAnsi="Arial" w:cs="Arial"/>
          <w:szCs w:val="24"/>
        </w:rPr>
        <w:t>Universal credit - service c</w:t>
      </w:r>
      <w:bookmarkStart w:id="1" w:name="_GoBack"/>
      <w:bookmarkEnd w:id="1"/>
      <w:r w:rsidR="00DD4E36" w:rsidRPr="00264501">
        <w:rPr>
          <w:rStyle w:val="Hyperlink"/>
          <w:rFonts w:ascii="Arial" w:eastAsia="Calibri" w:hAnsi="Arial" w:cs="Arial"/>
          <w:szCs w:val="24"/>
        </w:rPr>
        <w:t>h</w:t>
      </w:r>
      <w:r w:rsidR="00DD4E36" w:rsidRPr="00264501">
        <w:rPr>
          <w:rStyle w:val="Hyperlink"/>
          <w:rFonts w:ascii="Arial" w:eastAsia="Calibri" w:hAnsi="Arial" w:cs="Arial"/>
          <w:szCs w:val="24"/>
        </w:rPr>
        <w:t>arges guidance fo</w:t>
      </w:r>
      <w:r w:rsidR="00DD4E36" w:rsidRPr="00264501">
        <w:rPr>
          <w:rStyle w:val="Hyperlink"/>
          <w:rFonts w:ascii="Arial" w:eastAsia="Calibri" w:hAnsi="Arial" w:cs="Arial"/>
          <w:szCs w:val="24"/>
        </w:rPr>
        <w:t>r</w:t>
      </w:r>
      <w:r w:rsidR="00DD4E36" w:rsidRPr="00264501">
        <w:rPr>
          <w:rStyle w:val="Hyperlink"/>
          <w:rFonts w:ascii="Arial" w:eastAsia="Calibri" w:hAnsi="Arial" w:cs="Arial"/>
          <w:szCs w:val="24"/>
        </w:rPr>
        <w:t xml:space="preserve"> Landlords</w:t>
      </w:r>
    </w:p>
    <w:p w:rsidR="004E06B0" w:rsidRPr="006A50AC" w:rsidRDefault="00264501" w:rsidP="004E06B0">
      <w:pPr>
        <w:spacing w:after="120" w:line="240" w:lineRule="auto"/>
        <w:rPr>
          <w:rFonts w:ascii="Arial" w:hAnsi="Arial" w:cs="Arial"/>
          <w:sz w:val="24"/>
          <w:szCs w:val="24"/>
        </w:rPr>
      </w:pPr>
      <w:r>
        <w:rPr>
          <w:rFonts w:ascii="Arial" w:eastAsia="Calibri" w:hAnsi="Arial" w:cs="Arial"/>
          <w:color w:val="0000FF" w:themeColor="hyperlink"/>
          <w:szCs w:val="24"/>
          <w:u w:val="single"/>
        </w:rPr>
        <w:fldChar w:fldCharType="end"/>
      </w:r>
      <w:r w:rsidR="004E06B0" w:rsidRPr="004E06B0">
        <w:rPr>
          <w:rFonts w:ascii="Arial" w:hAnsi="Arial" w:cs="Arial"/>
          <w:sz w:val="24"/>
          <w:szCs w:val="24"/>
        </w:rPr>
        <w:t xml:space="preserve"> </w:t>
      </w:r>
      <w:r w:rsidR="004E06B0">
        <w:rPr>
          <w:rFonts w:ascii="Arial" w:hAnsi="Arial" w:cs="Arial"/>
          <w:sz w:val="24"/>
          <w:szCs w:val="24"/>
        </w:rPr>
        <w:t xml:space="preserve"> and </w:t>
      </w:r>
      <w:hyperlink r:id="rId34" w:history="1">
        <w:r w:rsidR="004E06B0" w:rsidRPr="006A50AC">
          <w:rPr>
            <w:rStyle w:val="Hyperlink"/>
            <w:rFonts w:ascii="Arial" w:hAnsi="Arial" w:cs="Arial"/>
            <w:sz w:val="24"/>
            <w:szCs w:val="24"/>
          </w:rPr>
          <w:t>NHF latest information on Universal Credit</w:t>
        </w:r>
      </w:hyperlink>
    </w:p>
    <w:p w:rsidR="003378BF" w:rsidRPr="006A50AC" w:rsidRDefault="003378BF" w:rsidP="003378BF">
      <w:pPr>
        <w:spacing w:after="120" w:line="240" w:lineRule="auto"/>
        <w:rPr>
          <w:rFonts w:ascii="Arial" w:hAnsi="Arial" w:cs="Arial"/>
          <w:b/>
          <w:sz w:val="24"/>
          <w:szCs w:val="24"/>
        </w:rPr>
      </w:pPr>
      <w:r w:rsidRPr="006A50AC">
        <w:rPr>
          <w:rFonts w:ascii="Arial" w:hAnsi="Arial" w:cs="Arial"/>
          <w:b/>
          <w:sz w:val="24"/>
          <w:szCs w:val="24"/>
        </w:rPr>
        <w:t>Accounting and Reporting</w:t>
      </w:r>
    </w:p>
    <w:p w:rsidR="003378BF" w:rsidRPr="006A50AC" w:rsidRDefault="003378BF" w:rsidP="003378BF">
      <w:pPr>
        <w:pStyle w:val="ListParagraph"/>
        <w:numPr>
          <w:ilvl w:val="0"/>
          <w:numId w:val="4"/>
        </w:numPr>
        <w:spacing w:after="120" w:line="240" w:lineRule="auto"/>
        <w:rPr>
          <w:rFonts w:ascii="Arial" w:hAnsi="Arial" w:cs="Arial"/>
          <w:sz w:val="24"/>
          <w:szCs w:val="24"/>
        </w:rPr>
      </w:pPr>
      <w:r w:rsidRPr="006A50AC">
        <w:rPr>
          <w:rFonts w:ascii="Arial" w:hAnsi="Arial" w:cs="Arial"/>
          <w:sz w:val="24"/>
          <w:szCs w:val="24"/>
        </w:rPr>
        <w:t>Sinking funds</w:t>
      </w:r>
    </w:p>
    <w:p w:rsidR="003378BF" w:rsidRPr="006A50AC" w:rsidRDefault="005D602A" w:rsidP="003378BF">
      <w:pPr>
        <w:pStyle w:val="ListParagraph"/>
        <w:numPr>
          <w:ilvl w:val="0"/>
          <w:numId w:val="4"/>
        </w:numPr>
        <w:spacing w:after="120" w:line="240" w:lineRule="auto"/>
        <w:rPr>
          <w:rFonts w:ascii="Arial" w:hAnsi="Arial" w:cs="Arial"/>
          <w:sz w:val="24"/>
          <w:szCs w:val="24"/>
        </w:rPr>
      </w:pPr>
      <w:hyperlink r:id="rId35" w:history="1">
        <w:r w:rsidR="003378BF">
          <w:rPr>
            <w:rStyle w:val="Hyperlink"/>
            <w:rFonts w:ascii="Arial" w:hAnsi="Arial" w:cs="Arial"/>
            <w:sz w:val="24"/>
            <w:szCs w:val="24"/>
          </w:rPr>
          <w:t xml:space="preserve">Annual accounts technical guide from ICAEW </w:t>
        </w:r>
      </w:hyperlink>
      <w:r w:rsidR="003378BF" w:rsidRPr="006A50AC">
        <w:rPr>
          <w:rFonts w:ascii="Arial" w:hAnsi="Arial" w:cs="Arial"/>
          <w:sz w:val="24"/>
          <w:szCs w:val="24"/>
        </w:rPr>
        <w:t xml:space="preserve"> </w:t>
      </w:r>
    </w:p>
    <w:p w:rsidR="003378BF" w:rsidRPr="006A50AC" w:rsidRDefault="003378BF" w:rsidP="003378BF">
      <w:pPr>
        <w:pStyle w:val="ListParagraph"/>
        <w:numPr>
          <w:ilvl w:val="0"/>
          <w:numId w:val="4"/>
        </w:numPr>
        <w:spacing w:after="120" w:line="240" w:lineRule="auto"/>
        <w:rPr>
          <w:rFonts w:ascii="Arial" w:hAnsi="Arial" w:cs="Arial"/>
          <w:sz w:val="24"/>
          <w:szCs w:val="24"/>
        </w:rPr>
      </w:pPr>
      <w:r w:rsidRPr="006A50AC">
        <w:rPr>
          <w:rFonts w:ascii="Arial" w:hAnsi="Arial" w:cs="Arial"/>
          <w:sz w:val="24"/>
          <w:szCs w:val="24"/>
        </w:rPr>
        <w:t>Audit fees</w:t>
      </w:r>
    </w:p>
    <w:p w:rsidR="003378BF" w:rsidRPr="006A50AC" w:rsidRDefault="003378BF" w:rsidP="003378BF">
      <w:pPr>
        <w:spacing w:after="120" w:line="240" w:lineRule="auto"/>
        <w:rPr>
          <w:rFonts w:ascii="Arial" w:hAnsi="Arial" w:cs="Arial"/>
          <w:b/>
          <w:sz w:val="24"/>
          <w:szCs w:val="24"/>
        </w:rPr>
      </w:pPr>
      <w:r w:rsidRPr="006A50AC">
        <w:rPr>
          <w:rFonts w:ascii="Arial" w:hAnsi="Arial" w:cs="Arial"/>
          <w:b/>
          <w:sz w:val="24"/>
          <w:szCs w:val="24"/>
        </w:rPr>
        <w:t>Making changes and communication</w:t>
      </w:r>
    </w:p>
    <w:p w:rsidR="008D0801" w:rsidRDefault="008D0801" w:rsidP="003378BF">
      <w:pPr>
        <w:pStyle w:val="ListParagraph"/>
        <w:numPr>
          <w:ilvl w:val="0"/>
          <w:numId w:val="4"/>
        </w:numPr>
        <w:spacing w:after="120" w:line="240" w:lineRule="auto"/>
        <w:rPr>
          <w:rFonts w:ascii="Arial" w:hAnsi="Arial" w:cs="Arial"/>
          <w:sz w:val="24"/>
          <w:szCs w:val="24"/>
        </w:rPr>
      </w:pPr>
      <w:r w:rsidRPr="006A50AC">
        <w:rPr>
          <w:rFonts w:ascii="Arial" w:hAnsi="Arial" w:cs="Arial"/>
          <w:sz w:val="24"/>
          <w:szCs w:val="24"/>
        </w:rPr>
        <w:t>Watch out: consultation timetable –v- EU legislation impact.</w:t>
      </w:r>
    </w:p>
    <w:p w:rsidR="003378BF" w:rsidRPr="006A50AC" w:rsidRDefault="003378BF" w:rsidP="003378BF">
      <w:pPr>
        <w:pStyle w:val="ListParagraph"/>
        <w:numPr>
          <w:ilvl w:val="0"/>
          <w:numId w:val="4"/>
        </w:numPr>
        <w:spacing w:after="120" w:line="240" w:lineRule="auto"/>
        <w:rPr>
          <w:rFonts w:ascii="Arial" w:hAnsi="Arial" w:cs="Arial"/>
          <w:sz w:val="24"/>
          <w:szCs w:val="24"/>
        </w:rPr>
      </w:pPr>
      <w:r w:rsidRPr="006A50AC">
        <w:rPr>
          <w:rFonts w:ascii="Arial" w:hAnsi="Arial" w:cs="Arial"/>
          <w:sz w:val="24"/>
          <w:szCs w:val="24"/>
        </w:rPr>
        <w:t xml:space="preserve">The law requires consultation with residents if costs exceed £100 pa or £250 one off per service charged, including VAT (section 20) </w:t>
      </w:r>
      <w:hyperlink r:id="rId36" w:history="1">
        <w:r w:rsidRPr="006A50AC">
          <w:rPr>
            <w:rStyle w:val="Hyperlink"/>
            <w:rFonts w:ascii="Arial" w:hAnsi="Arial" w:cs="Arial"/>
            <w:sz w:val="24"/>
            <w:szCs w:val="24"/>
          </w:rPr>
          <w:t>Lease advisory Service guide on section 20</w:t>
        </w:r>
      </w:hyperlink>
      <w:r w:rsidRPr="006A50AC">
        <w:rPr>
          <w:rFonts w:ascii="Arial" w:hAnsi="Arial" w:cs="Arial"/>
          <w:sz w:val="24"/>
          <w:szCs w:val="24"/>
        </w:rPr>
        <w:t xml:space="preserve"> </w:t>
      </w:r>
    </w:p>
    <w:p w:rsidR="003378BF" w:rsidRPr="006A50AC" w:rsidRDefault="003378BF" w:rsidP="003378BF">
      <w:pPr>
        <w:pStyle w:val="ListParagraph"/>
        <w:numPr>
          <w:ilvl w:val="0"/>
          <w:numId w:val="4"/>
        </w:numPr>
        <w:spacing w:after="120" w:line="240" w:lineRule="auto"/>
        <w:rPr>
          <w:rFonts w:ascii="Arial" w:hAnsi="Arial" w:cs="Arial"/>
          <w:sz w:val="24"/>
          <w:szCs w:val="24"/>
        </w:rPr>
      </w:pPr>
      <w:r w:rsidRPr="006A50AC">
        <w:rPr>
          <w:rFonts w:ascii="Arial" w:hAnsi="Arial" w:cs="Arial"/>
          <w:sz w:val="24"/>
          <w:szCs w:val="24"/>
        </w:rPr>
        <w:t>If the lease of tenancy says so</w:t>
      </w:r>
    </w:p>
    <w:p w:rsidR="003378BF" w:rsidRPr="006A50AC" w:rsidRDefault="003378BF" w:rsidP="003378BF">
      <w:pPr>
        <w:pStyle w:val="ListParagraph"/>
        <w:numPr>
          <w:ilvl w:val="0"/>
          <w:numId w:val="4"/>
        </w:numPr>
        <w:spacing w:after="120" w:line="240" w:lineRule="auto"/>
        <w:rPr>
          <w:rFonts w:ascii="Arial" w:hAnsi="Arial" w:cs="Arial"/>
          <w:sz w:val="24"/>
          <w:szCs w:val="24"/>
        </w:rPr>
      </w:pPr>
      <w:r w:rsidRPr="006A50AC">
        <w:rPr>
          <w:rFonts w:ascii="Arial" w:hAnsi="Arial" w:cs="Arial"/>
          <w:sz w:val="24"/>
          <w:szCs w:val="24"/>
        </w:rPr>
        <w:t>Good practice to agree changes</w:t>
      </w:r>
    </w:p>
    <w:p w:rsidR="003378BF" w:rsidRPr="006A50AC" w:rsidRDefault="003378BF" w:rsidP="003378BF">
      <w:pPr>
        <w:pStyle w:val="ListParagraph"/>
        <w:numPr>
          <w:ilvl w:val="0"/>
          <w:numId w:val="4"/>
        </w:numPr>
        <w:spacing w:after="120" w:line="240" w:lineRule="auto"/>
        <w:rPr>
          <w:rFonts w:ascii="Arial" w:hAnsi="Arial" w:cs="Arial"/>
          <w:sz w:val="24"/>
          <w:szCs w:val="24"/>
        </w:rPr>
      </w:pPr>
      <w:r w:rsidRPr="006A50AC">
        <w:rPr>
          <w:rFonts w:ascii="Arial" w:hAnsi="Arial" w:cs="Arial"/>
          <w:sz w:val="24"/>
          <w:szCs w:val="24"/>
        </w:rPr>
        <w:t xml:space="preserve">Need for consensus </w:t>
      </w:r>
    </w:p>
    <w:p w:rsidR="003378BF" w:rsidRPr="006A50AC" w:rsidRDefault="003378BF" w:rsidP="003378BF">
      <w:pPr>
        <w:pStyle w:val="ListParagraph"/>
        <w:numPr>
          <w:ilvl w:val="0"/>
          <w:numId w:val="4"/>
        </w:numPr>
        <w:spacing w:after="120" w:line="240" w:lineRule="auto"/>
        <w:rPr>
          <w:rFonts w:ascii="Arial" w:hAnsi="Arial" w:cs="Arial"/>
          <w:sz w:val="24"/>
          <w:szCs w:val="24"/>
        </w:rPr>
      </w:pPr>
      <w:r w:rsidRPr="006A50AC">
        <w:rPr>
          <w:rFonts w:ascii="Arial" w:hAnsi="Arial" w:cs="Arial"/>
          <w:sz w:val="24"/>
          <w:szCs w:val="24"/>
        </w:rPr>
        <w:t>Use existing networks and residents</w:t>
      </w:r>
      <w:r w:rsidR="008D0801">
        <w:rPr>
          <w:rFonts w:ascii="Arial" w:hAnsi="Arial" w:cs="Arial"/>
          <w:sz w:val="24"/>
          <w:szCs w:val="24"/>
        </w:rPr>
        <w:t>’ associations</w:t>
      </w:r>
    </w:p>
    <w:p w:rsidR="0009524A" w:rsidRPr="006A50AC" w:rsidRDefault="0009524A" w:rsidP="00523EF1">
      <w:pPr>
        <w:spacing w:after="120" w:line="240" w:lineRule="auto"/>
        <w:rPr>
          <w:rFonts w:ascii="Arial" w:hAnsi="Arial" w:cs="Arial"/>
          <w:b/>
          <w:sz w:val="24"/>
          <w:szCs w:val="24"/>
        </w:rPr>
      </w:pPr>
      <w:r w:rsidRPr="006A50AC">
        <w:rPr>
          <w:rFonts w:ascii="Arial" w:hAnsi="Arial" w:cs="Arial"/>
          <w:b/>
          <w:sz w:val="24"/>
          <w:szCs w:val="24"/>
        </w:rPr>
        <w:t>Value for Money</w:t>
      </w:r>
    </w:p>
    <w:p w:rsidR="004E06B0" w:rsidRPr="004E06B0" w:rsidRDefault="004E06B0" w:rsidP="004E06B0">
      <w:pPr>
        <w:spacing w:after="120" w:line="24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61312" behindDoc="0" locked="0" layoutInCell="1" allowOverlap="1">
            <wp:simplePos x="0" y="0"/>
            <wp:positionH relativeFrom="margin">
              <wp:posOffset>496570</wp:posOffset>
            </wp:positionH>
            <wp:positionV relativeFrom="margin">
              <wp:posOffset>6472555</wp:posOffset>
            </wp:positionV>
            <wp:extent cx="5652135" cy="3437255"/>
            <wp:effectExtent l="152400" t="133350" r="43815" b="182245"/>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anchor>
        </w:drawing>
      </w:r>
      <w:r w:rsidR="00CF7060" w:rsidRPr="006A50AC">
        <w:rPr>
          <w:rFonts w:ascii="Arial" w:hAnsi="Arial" w:cs="Arial"/>
          <w:sz w:val="24"/>
          <w:szCs w:val="24"/>
        </w:rPr>
        <w:t xml:space="preserve">VFM </w:t>
      </w:r>
      <w:r w:rsidR="00CF7060" w:rsidRPr="006A50AC">
        <w:rPr>
          <w:rFonts w:ascii="Arial" w:hAnsi="Arial" w:cs="Arial"/>
          <w:sz w:val="24"/>
          <w:szCs w:val="24"/>
        </w:rPr>
        <w:lastRenderedPageBreak/>
        <w:t xml:space="preserve">guidance </w:t>
      </w:r>
      <w:r w:rsidR="00CB5399" w:rsidRPr="006A50AC">
        <w:rPr>
          <w:rFonts w:ascii="Arial" w:hAnsi="Arial" w:cs="Arial"/>
          <w:sz w:val="24"/>
          <w:szCs w:val="24"/>
        </w:rPr>
        <w:t xml:space="preserve">still useful </w:t>
      </w:r>
      <w:r w:rsidR="00CF7060" w:rsidRPr="006A50AC">
        <w:rPr>
          <w:rFonts w:ascii="Arial" w:hAnsi="Arial" w:cs="Arial"/>
          <w:sz w:val="24"/>
          <w:szCs w:val="24"/>
        </w:rPr>
        <w:t>(</w:t>
      </w:r>
      <w:r w:rsidR="00CB5399" w:rsidRPr="006A50AC">
        <w:rPr>
          <w:rFonts w:ascii="Arial" w:hAnsi="Arial" w:cs="Arial"/>
          <w:sz w:val="24"/>
          <w:szCs w:val="24"/>
        </w:rPr>
        <w:t>March 2007 H</w:t>
      </w:r>
      <w:r w:rsidR="003378BF">
        <w:rPr>
          <w:rFonts w:ascii="Arial" w:hAnsi="Arial" w:cs="Arial"/>
          <w:sz w:val="24"/>
          <w:szCs w:val="24"/>
        </w:rPr>
        <w:t>ousing</w:t>
      </w:r>
      <w:r w:rsidR="00CB5399" w:rsidRPr="006A50AC">
        <w:rPr>
          <w:rFonts w:ascii="Arial" w:hAnsi="Arial" w:cs="Arial"/>
          <w:sz w:val="24"/>
          <w:szCs w:val="24"/>
        </w:rPr>
        <w:t xml:space="preserve"> Corp</w:t>
      </w:r>
      <w:r w:rsidR="003378BF">
        <w:rPr>
          <w:rFonts w:ascii="Arial" w:hAnsi="Arial" w:cs="Arial"/>
          <w:sz w:val="24"/>
          <w:szCs w:val="24"/>
        </w:rPr>
        <w:t>oration</w:t>
      </w:r>
      <w:r w:rsidR="00CB5399" w:rsidRPr="006A50AC">
        <w:rPr>
          <w:rFonts w:ascii="Arial" w:hAnsi="Arial" w:cs="Arial"/>
          <w:sz w:val="24"/>
          <w:szCs w:val="24"/>
        </w:rPr>
        <w:t>)</w:t>
      </w:r>
      <w:r w:rsidR="003378BF" w:rsidRPr="003378BF">
        <w:rPr>
          <w:rFonts w:ascii="Arial" w:hAnsi="Arial" w:cs="Arial"/>
          <w:noProof/>
          <w:sz w:val="24"/>
          <w:szCs w:val="24"/>
          <w:lang w:eastAsia="en-GB"/>
        </w:rPr>
        <w:t xml:space="preserve"> </w:t>
      </w:r>
      <w:r w:rsidR="00CF7060" w:rsidRPr="006A50AC">
        <w:rPr>
          <w:rFonts w:ascii="Arial" w:hAnsi="Arial" w:cs="Arial"/>
          <w:sz w:val="24"/>
          <w:szCs w:val="24"/>
        </w:rPr>
        <w:tab/>
      </w:r>
    </w:p>
    <w:sectPr w:rsidR="004E06B0" w:rsidRPr="004E06B0" w:rsidSect="004E06B0">
      <w:pgSz w:w="11906" w:h="16838"/>
      <w:pgMar w:top="568"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53075"/>
    <w:multiLevelType w:val="hybridMultilevel"/>
    <w:tmpl w:val="7C28A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EF323B7"/>
    <w:multiLevelType w:val="hybridMultilevel"/>
    <w:tmpl w:val="DBB41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D570C87"/>
    <w:multiLevelType w:val="hybridMultilevel"/>
    <w:tmpl w:val="A9547602"/>
    <w:lvl w:ilvl="0" w:tplc="88640C56">
      <w:start w:val="1"/>
      <w:numFmt w:val="bullet"/>
      <w:lvlText w:val="•"/>
      <w:lvlJc w:val="left"/>
      <w:pPr>
        <w:tabs>
          <w:tab w:val="num" w:pos="720"/>
        </w:tabs>
        <w:ind w:left="720" w:hanging="360"/>
      </w:pPr>
      <w:rPr>
        <w:rFonts w:ascii="Times New Roman" w:hAnsi="Times New Roman" w:hint="default"/>
      </w:rPr>
    </w:lvl>
    <w:lvl w:ilvl="1" w:tplc="B75493B2" w:tentative="1">
      <w:start w:val="1"/>
      <w:numFmt w:val="bullet"/>
      <w:lvlText w:val="•"/>
      <w:lvlJc w:val="left"/>
      <w:pPr>
        <w:tabs>
          <w:tab w:val="num" w:pos="1440"/>
        </w:tabs>
        <w:ind w:left="1440" w:hanging="360"/>
      </w:pPr>
      <w:rPr>
        <w:rFonts w:ascii="Times New Roman" w:hAnsi="Times New Roman" w:hint="default"/>
      </w:rPr>
    </w:lvl>
    <w:lvl w:ilvl="2" w:tplc="A198EEE6" w:tentative="1">
      <w:start w:val="1"/>
      <w:numFmt w:val="bullet"/>
      <w:lvlText w:val="•"/>
      <w:lvlJc w:val="left"/>
      <w:pPr>
        <w:tabs>
          <w:tab w:val="num" w:pos="2160"/>
        </w:tabs>
        <w:ind w:left="2160" w:hanging="360"/>
      </w:pPr>
      <w:rPr>
        <w:rFonts w:ascii="Times New Roman" w:hAnsi="Times New Roman" w:hint="default"/>
      </w:rPr>
    </w:lvl>
    <w:lvl w:ilvl="3" w:tplc="781E8946" w:tentative="1">
      <w:start w:val="1"/>
      <w:numFmt w:val="bullet"/>
      <w:lvlText w:val="•"/>
      <w:lvlJc w:val="left"/>
      <w:pPr>
        <w:tabs>
          <w:tab w:val="num" w:pos="2880"/>
        </w:tabs>
        <w:ind w:left="2880" w:hanging="360"/>
      </w:pPr>
      <w:rPr>
        <w:rFonts w:ascii="Times New Roman" w:hAnsi="Times New Roman" w:hint="default"/>
      </w:rPr>
    </w:lvl>
    <w:lvl w:ilvl="4" w:tplc="C6ECBEDC" w:tentative="1">
      <w:start w:val="1"/>
      <w:numFmt w:val="bullet"/>
      <w:lvlText w:val="•"/>
      <w:lvlJc w:val="left"/>
      <w:pPr>
        <w:tabs>
          <w:tab w:val="num" w:pos="3600"/>
        </w:tabs>
        <w:ind w:left="3600" w:hanging="360"/>
      </w:pPr>
      <w:rPr>
        <w:rFonts w:ascii="Times New Roman" w:hAnsi="Times New Roman" w:hint="default"/>
      </w:rPr>
    </w:lvl>
    <w:lvl w:ilvl="5" w:tplc="923A63CC" w:tentative="1">
      <w:start w:val="1"/>
      <w:numFmt w:val="bullet"/>
      <w:lvlText w:val="•"/>
      <w:lvlJc w:val="left"/>
      <w:pPr>
        <w:tabs>
          <w:tab w:val="num" w:pos="4320"/>
        </w:tabs>
        <w:ind w:left="4320" w:hanging="360"/>
      </w:pPr>
      <w:rPr>
        <w:rFonts w:ascii="Times New Roman" w:hAnsi="Times New Roman" w:hint="default"/>
      </w:rPr>
    </w:lvl>
    <w:lvl w:ilvl="6" w:tplc="275EC164" w:tentative="1">
      <w:start w:val="1"/>
      <w:numFmt w:val="bullet"/>
      <w:lvlText w:val="•"/>
      <w:lvlJc w:val="left"/>
      <w:pPr>
        <w:tabs>
          <w:tab w:val="num" w:pos="5040"/>
        </w:tabs>
        <w:ind w:left="5040" w:hanging="360"/>
      </w:pPr>
      <w:rPr>
        <w:rFonts w:ascii="Times New Roman" w:hAnsi="Times New Roman" w:hint="default"/>
      </w:rPr>
    </w:lvl>
    <w:lvl w:ilvl="7" w:tplc="A3D82CDE" w:tentative="1">
      <w:start w:val="1"/>
      <w:numFmt w:val="bullet"/>
      <w:lvlText w:val="•"/>
      <w:lvlJc w:val="left"/>
      <w:pPr>
        <w:tabs>
          <w:tab w:val="num" w:pos="5760"/>
        </w:tabs>
        <w:ind w:left="5760" w:hanging="360"/>
      </w:pPr>
      <w:rPr>
        <w:rFonts w:ascii="Times New Roman" w:hAnsi="Times New Roman" w:hint="default"/>
      </w:rPr>
    </w:lvl>
    <w:lvl w:ilvl="8" w:tplc="BD4CB442" w:tentative="1">
      <w:start w:val="1"/>
      <w:numFmt w:val="bullet"/>
      <w:lvlText w:val="•"/>
      <w:lvlJc w:val="left"/>
      <w:pPr>
        <w:tabs>
          <w:tab w:val="num" w:pos="6480"/>
        </w:tabs>
        <w:ind w:left="6480" w:hanging="360"/>
      </w:pPr>
      <w:rPr>
        <w:rFonts w:ascii="Times New Roman" w:hAnsi="Times New Roman" w:hint="default"/>
      </w:rPr>
    </w:lvl>
  </w:abstractNum>
  <w:abstractNum w:abstractNumId="3">
    <w:nsid w:val="66593681"/>
    <w:multiLevelType w:val="hybridMultilevel"/>
    <w:tmpl w:val="C180DA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F497897"/>
    <w:multiLevelType w:val="multilevel"/>
    <w:tmpl w:val="2C24BB62"/>
    <w:styleLink w:val="Style1"/>
    <w:lvl w:ilvl="0">
      <w:start w:val="1"/>
      <w:numFmt w:val="decimal"/>
      <w:lvlText w:val="%1"/>
      <w:lvlJc w:val="left"/>
      <w:pPr>
        <w:ind w:left="360" w:hanging="360"/>
      </w:pPr>
      <w:rPr>
        <w:rFonts w:hint="default"/>
      </w:rPr>
    </w:lvl>
    <w:lvl w:ilvl="1">
      <w:start w:val="1"/>
      <w:numFmt w:val="decimal"/>
      <w:lvlText w:val="%1.%2"/>
      <w:lvlJc w:val="left"/>
      <w:pPr>
        <w:ind w:left="1152" w:hanging="432"/>
      </w:pPr>
      <w:rPr>
        <w:rFonts w:hint="default"/>
      </w:rPr>
    </w:lvl>
    <w:lvl w:ilvl="2">
      <w:start w:val="1"/>
      <w:numFmt w:val="bullet"/>
      <w:lvlText w:val=""/>
      <w:lvlJc w:val="left"/>
      <w:pPr>
        <w:ind w:left="194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2"/>
  </w:compat>
  <w:rsids>
    <w:rsidRoot w:val="004C0709"/>
    <w:rsid w:val="00027979"/>
    <w:rsid w:val="00042B1A"/>
    <w:rsid w:val="00081BBB"/>
    <w:rsid w:val="0009524A"/>
    <w:rsid w:val="000C2A8E"/>
    <w:rsid w:val="000E322A"/>
    <w:rsid w:val="000F60E2"/>
    <w:rsid w:val="00124C52"/>
    <w:rsid w:val="00132390"/>
    <w:rsid w:val="00132913"/>
    <w:rsid w:val="00264501"/>
    <w:rsid w:val="002E3B43"/>
    <w:rsid w:val="002F48B3"/>
    <w:rsid w:val="003378BF"/>
    <w:rsid w:val="003512AF"/>
    <w:rsid w:val="00367FAC"/>
    <w:rsid w:val="00385BCF"/>
    <w:rsid w:val="003866EB"/>
    <w:rsid w:val="003A5839"/>
    <w:rsid w:val="003B59C4"/>
    <w:rsid w:val="00497C44"/>
    <w:rsid w:val="004C0709"/>
    <w:rsid w:val="004E06B0"/>
    <w:rsid w:val="004F3DD1"/>
    <w:rsid w:val="00513F6A"/>
    <w:rsid w:val="00523EF1"/>
    <w:rsid w:val="005268A3"/>
    <w:rsid w:val="005270B0"/>
    <w:rsid w:val="0058711A"/>
    <w:rsid w:val="005D602A"/>
    <w:rsid w:val="005F46EF"/>
    <w:rsid w:val="00685C99"/>
    <w:rsid w:val="006A50AC"/>
    <w:rsid w:val="00715A05"/>
    <w:rsid w:val="0073552C"/>
    <w:rsid w:val="00736A43"/>
    <w:rsid w:val="00751242"/>
    <w:rsid w:val="007B1D93"/>
    <w:rsid w:val="008017E2"/>
    <w:rsid w:val="00845DCB"/>
    <w:rsid w:val="0085283C"/>
    <w:rsid w:val="008643C8"/>
    <w:rsid w:val="008D0801"/>
    <w:rsid w:val="009410C9"/>
    <w:rsid w:val="00953C3F"/>
    <w:rsid w:val="009844BB"/>
    <w:rsid w:val="00993199"/>
    <w:rsid w:val="009F54FC"/>
    <w:rsid w:val="00A41BF9"/>
    <w:rsid w:val="00B400D1"/>
    <w:rsid w:val="00B752DE"/>
    <w:rsid w:val="00B942AE"/>
    <w:rsid w:val="00BA6BC5"/>
    <w:rsid w:val="00BD2F41"/>
    <w:rsid w:val="00C13BE1"/>
    <w:rsid w:val="00C76E1B"/>
    <w:rsid w:val="00CB5399"/>
    <w:rsid w:val="00CF7060"/>
    <w:rsid w:val="00DB057C"/>
    <w:rsid w:val="00DD4E36"/>
    <w:rsid w:val="00E26222"/>
    <w:rsid w:val="00EB5AD7"/>
    <w:rsid w:val="00F60B66"/>
    <w:rsid w:val="00F72543"/>
    <w:rsid w:val="00F748FB"/>
    <w:rsid w:val="00F77603"/>
    <w:rsid w:val="00F943AB"/>
    <w:rsid w:val="00FD259C"/>
    <w:rsid w:val="00FE03F2"/>
    <w:rsid w:val="00FF4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268A3"/>
    <w:pPr>
      <w:numPr>
        <w:numId w:val="1"/>
      </w:numPr>
    </w:pPr>
  </w:style>
  <w:style w:type="paragraph" w:styleId="ListParagraph">
    <w:name w:val="List Paragraph"/>
    <w:basedOn w:val="Normal"/>
    <w:uiPriority w:val="34"/>
    <w:qFormat/>
    <w:rsid w:val="0009524A"/>
    <w:pPr>
      <w:ind w:left="720"/>
      <w:contextualSpacing/>
    </w:pPr>
  </w:style>
  <w:style w:type="character" w:styleId="Hyperlink">
    <w:name w:val="Hyperlink"/>
    <w:basedOn w:val="DefaultParagraphFont"/>
    <w:uiPriority w:val="99"/>
    <w:unhideWhenUsed/>
    <w:rsid w:val="00F943AB"/>
    <w:rPr>
      <w:color w:val="0000FF" w:themeColor="hyperlink"/>
      <w:u w:val="single"/>
    </w:rPr>
  </w:style>
  <w:style w:type="character" w:styleId="FollowedHyperlink">
    <w:name w:val="FollowedHyperlink"/>
    <w:basedOn w:val="DefaultParagraphFont"/>
    <w:uiPriority w:val="99"/>
    <w:semiHidden/>
    <w:unhideWhenUsed/>
    <w:rsid w:val="00FF4313"/>
    <w:rPr>
      <w:color w:val="800080" w:themeColor="followedHyperlink"/>
      <w:u w:val="single"/>
    </w:rPr>
  </w:style>
  <w:style w:type="paragraph" w:styleId="BalloonText">
    <w:name w:val="Balloon Text"/>
    <w:basedOn w:val="Normal"/>
    <w:link w:val="BalloonTextChar"/>
    <w:uiPriority w:val="99"/>
    <w:semiHidden/>
    <w:unhideWhenUsed/>
    <w:rsid w:val="00027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1688">
      <w:bodyDiv w:val="1"/>
      <w:marLeft w:val="0"/>
      <w:marRight w:val="0"/>
      <w:marTop w:val="0"/>
      <w:marBottom w:val="0"/>
      <w:divBdr>
        <w:top w:val="none" w:sz="0" w:space="0" w:color="auto"/>
        <w:left w:val="none" w:sz="0" w:space="0" w:color="auto"/>
        <w:bottom w:val="none" w:sz="0" w:space="0" w:color="auto"/>
        <w:right w:val="none" w:sz="0" w:space="0" w:color="auto"/>
      </w:divBdr>
    </w:div>
    <w:div w:id="409544334">
      <w:bodyDiv w:val="1"/>
      <w:marLeft w:val="0"/>
      <w:marRight w:val="0"/>
      <w:marTop w:val="0"/>
      <w:marBottom w:val="0"/>
      <w:divBdr>
        <w:top w:val="none" w:sz="0" w:space="0" w:color="auto"/>
        <w:left w:val="none" w:sz="0" w:space="0" w:color="auto"/>
        <w:bottom w:val="none" w:sz="0" w:space="0" w:color="auto"/>
        <w:right w:val="none" w:sz="0" w:space="0" w:color="auto"/>
      </w:divBdr>
    </w:div>
    <w:div w:id="1104688999">
      <w:bodyDiv w:val="1"/>
      <w:marLeft w:val="0"/>
      <w:marRight w:val="0"/>
      <w:marTop w:val="0"/>
      <w:marBottom w:val="0"/>
      <w:divBdr>
        <w:top w:val="none" w:sz="0" w:space="0" w:color="auto"/>
        <w:left w:val="none" w:sz="0" w:space="0" w:color="auto"/>
        <w:bottom w:val="none" w:sz="0" w:space="0" w:color="auto"/>
        <w:right w:val="none" w:sz="0" w:space="0" w:color="auto"/>
      </w:divBdr>
    </w:div>
    <w:div w:id="1346051727">
      <w:bodyDiv w:val="1"/>
      <w:marLeft w:val="0"/>
      <w:marRight w:val="0"/>
      <w:marTop w:val="0"/>
      <w:marBottom w:val="0"/>
      <w:divBdr>
        <w:top w:val="none" w:sz="0" w:space="0" w:color="auto"/>
        <w:left w:val="none" w:sz="0" w:space="0" w:color="auto"/>
        <w:bottom w:val="none" w:sz="0" w:space="0" w:color="auto"/>
        <w:right w:val="none" w:sz="0" w:space="0" w:color="auto"/>
      </w:divBdr>
    </w:div>
    <w:div w:id="1459179184">
      <w:bodyDiv w:val="1"/>
      <w:marLeft w:val="0"/>
      <w:marRight w:val="0"/>
      <w:marTop w:val="0"/>
      <w:marBottom w:val="0"/>
      <w:divBdr>
        <w:top w:val="none" w:sz="0" w:space="0" w:color="auto"/>
        <w:left w:val="none" w:sz="0" w:space="0" w:color="auto"/>
        <w:bottom w:val="none" w:sz="0" w:space="0" w:color="auto"/>
        <w:right w:val="none" w:sz="0" w:space="0" w:color="auto"/>
      </w:divBdr>
    </w:div>
    <w:div w:id="1723628773">
      <w:bodyDiv w:val="1"/>
      <w:marLeft w:val="0"/>
      <w:marRight w:val="0"/>
      <w:marTop w:val="0"/>
      <w:marBottom w:val="0"/>
      <w:divBdr>
        <w:top w:val="none" w:sz="0" w:space="0" w:color="auto"/>
        <w:left w:val="none" w:sz="0" w:space="0" w:color="auto"/>
        <w:bottom w:val="none" w:sz="0" w:space="0" w:color="auto"/>
        <w:right w:val="none" w:sz="0" w:space="0" w:color="auto"/>
      </w:divBdr>
      <w:divsChild>
        <w:div w:id="1666277436">
          <w:marLeft w:val="547"/>
          <w:marRight w:val="0"/>
          <w:marTop w:val="0"/>
          <w:marBottom w:val="0"/>
          <w:divBdr>
            <w:top w:val="none" w:sz="0" w:space="0" w:color="auto"/>
            <w:left w:val="none" w:sz="0" w:space="0" w:color="auto"/>
            <w:bottom w:val="none" w:sz="0" w:space="0" w:color="auto"/>
            <w:right w:val="none" w:sz="0" w:space="0" w:color="auto"/>
          </w:divBdr>
        </w:div>
        <w:div w:id="359824114">
          <w:marLeft w:val="547"/>
          <w:marRight w:val="0"/>
          <w:marTop w:val="0"/>
          <w:marBottom w:val="0"/>
          <w:divBdr>
            <w:top w:val="none" w:sz="0" w:space="0" w:color="auto"/>
            <w:left w:val="none" w:sz="0" w:space="0" w:color="auto"/>
            <w:bottom w:val="none" w:sz="0" w:space="0" w:color="auto"/>
            <w:right w:val="none" w:sz="0" w:space="0" w:color="auto"/>
          </w:divBdr>
        </w:div>
        <w:div w:id="1374843816">
          <w:marLeft w:val="547"/>
          <w:marRight w:val="0"/>
          <w:marTop w:val="0"/>
          <w:marBottom w:val="0"/>
          <w:divBdr>
            <w:top w:val="none" w:sz="0" w:space="0" w:color="auto"/>
            <w:left w:val="none" w:sz="0" w:space="0" w:color="auto"/>
            <w:bottom w:val="none" w:sz="0" w:space="0" w:color="auto"/>
            <w:right w:val="none" w:sz="0" w:space="0" w:color="auto"/>
          </w:divBdr>
        </w:div>
        <w:div w:id="332609082">
          <w:marLeft w:val="547"/>
          <w:marRight w:val="0"/>
          <w:marTop w:val="0"/>
          <w:marBottom w:val="0"/>
          <w:divBdr>
            <w:top w:val="none" w:sz="0" w:space="0" w:color="auto"/>
            <w:left w:val="none" w:sz="0" w:space="0" w:color="auto"/>
            <w:bottom w:val="none" w:sz="0" w:space="0" w:color="auto"/>
            <w:right w:val="none" w:sz="0" w:space="0" w:color="auto"/>
          </w:divBdr>
        </w:div>
      </w:divsChild>
    </w:div>
    <w:div w:id="1759445147">
      <w:bodyDiv w:val="1"/>
      <w:marLeft w:val="0"/>
      <w:marRight w:val="0"/>
      <w:marTop w:val="0"/>
      <w:marBottom w:val="0"/>
      <w:divBdr>
        <w:top w:val="none" w:sz="0" w:space="0" w:color="auto"/>
        <w:left w:val="none" w:sz="0" w:space="0" w:color="auto"/>
        <w:bottom w:val="none" w:sz="0" w:space="0" w:color="auto"/>
        <w:right w:val="none" w:sz="0" w:space="0" w:color="auto"/>
      </w:divBdr>
    </w:div>
    <w:div w:id="1931964334">
      <w:bodyDiv w:val="1"/>
      <w:marLeft w:val="0"/>
      <w:marRight w:val="0"/>
      <w:marTop w:val="0"/>
      <w:marBottom w:val="0"/>
      <w:divBdr>
        <w:top w:val="none" w:sz="0" w:space="0" w:color="auto"/>
        <w:left w:val="none" w:sz="0" w:space="0" w:color="auto"/>
        <w:bottom w:val="none" w:sz="0" w:space="0" w:color="auto"/>
        <w:right w:val="none" w:sz="0" w:space="0" w:color="auto"/>
      </w:divBdr>
      <w:divsChild>
        <w:div w:id="603732866">
          <w:marLeft w:val="547"/>
          <w:marRight w:val="0"/>
          <w:marTop w:val="0"/>
          <w:marBottom w:val="0"/>
          <w:divBdr>
            <w:top w:val="none" w:sz="0" w:space="0" w:color="auto"/>
            <w:left w:val="none" w:sz="0" w:space="0" w:color="auto"/>
            <w:bottom w:val="none" w:sz="0" w:space="0" w:color="auto"/>
            <w:right w:val="none" w:sz="0" w:space="0" w:color="auto"/>
          </w:divBdr>
        </w:div>
      </w:divsChild>
    </w:div>
    <w:div w:id="1948082310">
      <w:bodyDiv w:val="1"/>
      <w:marLeft w:val="0"/>
      <w:marRight w:val="0"/>
      <w:marTop w:val="0"/>
      <w:marBottom w:val="0"/>
      <w:divBdr>
        <w:top w:val="none" w:sz="0" w:space="0" w:color="auto"/>
        <w:left w:val="none" w:sz="0" w:space="0" w:color="auto"/>
        <w:bottom w:val="none" w:sz="0" w:space="0" w:color="auto"/>
        <w:right w:val="none" w:sz="0" w:space="0" w:color="auto"/>
      </w:divBdr>
    </w:div>
    <w:div w:id="198588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fa.org/Policy-and-Guidance/Technical-Panels-and-Boards/Housing-Panel" TargetMode="External"/><Relationship Id="rId13" Type="http://schemas.openxmlformats.org/officeDocument/2006/relationships/diagramColors" Target="diagrams/colors1.xml"/><Relationship Id="rId18" Type="http://schemas.openxmlformats.org/officeDocument/2006/relationships/hyperlink" Target="http://www.rics.org/uk/knowledge/professional-guidance/codes-of-practice/service-charge-residential-management-code-2nd-edition/" TargetMode="External"/><Relationship Id="rId26" Type="http://schemas.openxmlformats.org/officeDocument/2006/relationships/hyperlink" Target="http://www.justice.gov.uk/tribunals/residential-property/decisions" TargetMode="External"/><Relationship Id="rId39"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hyperlink" Target="http://www.legislation.gov.uk/ssi/2007/165/contents/made" TargetMode="External"/><Relationship Id="rId34" Type="http://schemas.openxmlformats.org/officeDocument/2006/relationships/hyperlink" Target="http://www.housing.org.uk/publications/find_a_publication/legislation/universal_credit_regulations_b.aspx" TargetMode="External"/><Relationship Id="rId42" Type="http://schemas.openxmlformats.org/officeDocument/2006/relationships/fontTable" Target="fontTable.xml"/><Relationship Id="rId7" Type="http://schemas.openxmlformats.org/officeDocument/2006/relationships/hyperlink" Target="mailto:julian.smith@cipfa.org" TargetMode="External"/><Relationship Id="rId12" Type="http://schemas.openxmlformats.org/officeDocument/2006/relationships/diagramQuickStyle" Target="diagrams/quickStyle1.xml"/><Relationship Id="rId17" Type="http://schemas.openxmlformats.org/officeDocument/2006/relationships/hyperlink" Target="http://www.lease-advice.org/publications/documents/document.asp?item=14" TargetMode="External"/><Relationship Id="rId25" Type="http://schemas.openxmlformats.org/officeDocument/2006/relationships/hyperlink" Target="http://www.housing.org.uk/publications/find_a_publication/housing_management/model_tenancy_agreements_memb.aspx" TargetMode="External"/><Relationship Id="rId33" Type="http://schemas.microsoft.com/office/2007/relationships/diagramDrawing" Target="diagrams/drawing2.xml"/><Relationship Id="rId38" Type="http://schemas.openxmlformats.org/officeDocument/2006/relationships/diagramLayout" Target="diagrams/layout3.xml"/><Relationship Id="rId2" Type="http://schemas.openxmlformats.org/officeDocument/2006/relationships/numbering" Target="numbering.xml"/><Relationship Id="rId16" Type="http://schemas.openxmlformats.org/officeDocument/2006/relationships/hyperlink" Target="http://www.justice.gov.uk/tribunals/residential-property" TargetMode="External"/><Relationship Id="rId20" Type="http://schemas.openxmlformats.org/officeDocument/2006/relationships/hyperlink" Target="http://renting.housingadviceni.org/prs/about-this-website.html" TargetMode="External"/><Relationship Id="rId29" Type="http://schemas.openxmlformats.org/officeDocument/2006/relationships/diagramData" Target="diagrams/data2.xml"/><Relationship Id="rId41"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www.scotland.gov.uk/Publications/2002/09/15391/10792" TargetMode="External"/><Relationship Id="rId32" Type="http://schemas.openxmlformats.org/officeDocument/2006/relationships/diagramColors" Target="diagrams/colors2.xml"/><Relationship Id="rId37" Type="http://schemas.openxmlformats.org/officeDocument/2006/relationships/diagramData" Target="diagrams/data3.xml"/><Relationship Id="rId40" Type="http://schemas.openxmlformats.org/officeDocument/2006/relationships/diagramColors" Target="diagrams/colors3.xml"/><Relationship Id="rId5" Type="http://schemas.openxmlformats.org/officeDocument/2006/relationships/settings" Target="settings.xml"/><Relationship Id="rId15" Type="http://schemas.openxmlformats.org/officeDocument/2006/relationships/hyperlink" Target="https://www.housing.org.uk/OnlineStore/Default.aspx?tabid=44&amp;action=INVProductDetails&amp;args=9434" TargetMode="External"/><Relationship Id="rId23" Type="http://schemas.openxmlformats.org/officeDocument/2006/relationships/hyperlink" Target="http://www.legislation.gov.uk/asp/2010/17/contents/enacted" TargetMode="External"/><Relationship Id="rId28" Type="http://schemas.openxmlformats.org/officeDocument/2006/relationships/hyperlink" Target="http://wales.gov.uk/topics/housingandcommunity/housing/private/renting/rpt/;jsessionid=FADAC6DD630AF10643A81F5608DA74FB?lang=en" TargetMode="External"/><Relationship Id="rId36" Type="http://schemas.openxmlformats.org/officeDocument/2006/relationships/hyperlink" Target="http://www.lease-advice.org/publications/documents/document.asp?item=19" TargetMode="External"/><Relationship Id="rId10" Type="http://schemas.openxmlformats.org/officeDocument/2006/relationships/diagramData" Target="diagrams/data1.xml"/><Relationship Id="rId19" Type="http://schemas.openxmlformats.org/officeDocument/2006/relationships/hyperlink" Target="http://www.dsdni.gov.uk/index/law_and_legislation/law-relating-to-housing.htm" TargetMode="External"/><Relationship Id="rId31"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hyperlink" Target="mailto:julian.smith@cipfa.org" TargetMode="External"/><Relationship Id="rId14" Type="http://schemas.microsoft.com/office/2007/relationships/diagramDrawing" Target="diagrams/drawing1.xml"/><Relationship Id="rId22" Type="http://schemas.openxmlformats.org/officeDocument/2006/relationships/hyperlink" Target="http://housingcharter.scotland.gov.uk/media/34241/the%20scottish%20social%20housing%20charter.pdf" TargetMode="External"/><Relationship Id="rId27" Type="http://schemas.openxmlformats.org/officeDocument/2006/relationships/hyperlink" Target="http://www.residential-property.judiciary.gov.uk/search/decisions_browse.jsp" TargetMode="External"/><Relationship Id="rId30" Type="http://schemas.openxmlformats.org/officeDocument/2006/relationships/diagramLayout" Target="diagrams/layout2.xml"/><Relationship Id="rId35" Type="http://schemas.openxmlformats.org/officeDocument/2006/relationships/hyperlink" Target="http://www.icaew.com/~/media/Files/Technical/technical-releases/legal-and-regulatory/tech-03-11-residential-service-charge-accounts.pdf" TargetMode="External"/><Relationship Id="rId43"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5966B5-10D2-4481-A854-2C0CED33A3EC}" type="doc">
      <dgm:prSet loTypeId="urn:microsoft.com/office/officeart/2005/8/layout/vList5" loCatId="list" qsTypeId="urn:microsoft.com/office/officeart/2005/8/quickstyle/3d2" qsCatId="3D" csTypeId="urn:microsoft.com/office/officeart/2005/8/colors/accent1_2" csCatId="accent1" phldr="1"/>
      <dgm:spPr/>
      <dgm:t>
        <a:bodyPr/>
        <a:lstStyle/>
        <a:p>
          <a:endParaRPr lang="en-GB"/>
        </a:p>
      </dgm:t>
    </dgm:pt>
    <dgm:pt modelId="{68F02A5F-2953-450F-9A13-D826580C7E15}">
      <dgm:prSet phldrT="[Text]" custT="1"/>
      <dgm:spPr/>
      <dgm:t>
        <a:bodyPr/>
        <a:lstStyle/>
        <a:p>
          <a:r>
            <a:rPr lang="en-GB" sz="1400">
              <a:latin typeface="Arial" pitchFamily="34" charset="0"/>
              <a:cs typeface="Arial" pitchFamily="34" charset="0"/>
            </a:rPr>
            <a:t>Are your </a:t>
          </a:r>
          <a:r>
            <a:rPr lang="en-GB" sz="1400" b="1">
              <a:latin typeface="Arial" pitchFamily="34" charset="0"/>
              <a:cs typeface="Arial" pitchFamily="34" charset="0"/>
            </a:rPr>
            <a:t>charges</a:t>
          </a:r>
          <a:r>
            <a:rPr lang="en-GB" sz="1400">
              <a:latin typeface="Arial" pitchFamily="34" charset="0"/>
              <a:cs typeface="Arial" pitchFamily="34" charset="0"/>
            </a:rPr>
            <a:t> fixed or variable?</a:t>
          </a:r>
        </a:p>
      </dgm:t>
    </dgm:pt>
    <dgm:pt modelId="{7ECA1773-2EFA-42C5-B7DB-ACB3BC267365}" type="parTrans" cxnId="{1A9FE42F-6617-4FD8-8599-C0AB14663067}">
      <dgm:prSet/>
      <dgm:spPr/>
      <dgm:t>
        <a:bodyPr/>
        <a:lstStyle/>
        <a:p>
          <a:endParaRPr lang="en-GB"/>
        </a:p>
      </dgm:t>
    </dgm:pt>
    <dgm:pt modelId="{306BD794-FC0C-468B-8BF2-69A1E6D5488B}" type="sibTrans" cxnId="{1A9FE42F-6617-4FD8-8599-C0AB14663067}">
      <dgm:prSet/>
      <dgm:spPr/>
      <dgm:t>
        <a:bodyPr/>
        <a:lstStyle/>
        <a:p>
          <a:endParaRPr lang="en-GB"/>
        </a:p>
      </dgm:t>
    </dgm:pt>
    <dgm:pt modelId="{4B0DC3F7-A9B2-4CC5-A321-2F3548E06490}">
      <dgm:prSet phldrT="[Text]" custT="1"/>
      <dgm:spPr/>
      <dgm:t>
        <a:bodyPr tIns="108000" rIns="36000" bIns="108000"/>
        <a:lstStyle/>
        <a:p>
          <a:pPr algn="l"/>
          <a:r>
            <a:rPr lang="en-GB" sz="1200">
              <a:latin typeface="Arial" pitchFamily="34" charset="0"/>
              <a:cs typeface="Arial" pitchFamily="34" charset="0"/>
            </a:rPr>
            <a:t>Legislation only covers variable charges and fixed charges are outside of legislation </a:t>
          </a:r>
        </a:p>
      </dgm:t>
    </dgm:pt>
    <dgm:pt modelId="{25E340B2-36ED-4C8D-A07E-AD5BADB5D45D}" type="parTrans" cxnId="{01F0A909-9082-47DA-8694-D61FBBC1826D}">
      <dgm:prSet/>
      <dgm:spPr/>
      <dgm:t>
        <a:bodyPr/>
        <a:lstStyle/>
        <a:p>
          <a:endParaRPr lang="en-GB"/>
        </a:p>
      </dgm:t>
    </dgm:pt>
    <dgm:pt modelId="{47EEA80F-2F05-4E49-88CA-FB1F7990E47C}" type="sibTrans" cxnId="{01F0A909-9082-47DA-8694-D61FBBC1826D}">
      <dgm:prSet/>
      <dgm:spPr/>
      <dgm:t>
        <a:bodyPr/>
        <a:lstStyle/>
        <a:p>
          <a:endParaRPr lang="en-GB"/>
        </a:p>
      </dgm:t>
    </dgm:pt>
    <dgm:pt modelId="{2AF08853-9691-45CB-A8D4-CC0DA344087D}">
      <dgm:prSet phldrT="[Text]" custT="1"/>
      <dgm:spPr/>
      <dgm:t>
        <a:bodyPr tIns="108000" rIns="36000" bIns="108000"/>
        <a:lstStyle/>
        <a:p>
          <a:pPr algn="l"/>
          <a:r>
            <a:rPr lang="en-GB" sz="1200" b="1">
              <a:latin typeface="Arial" pitchFamily="34" charset="0"/>
              <a:cs typeface="Arial" pitchFamily="34" charset="0"/>
            </a:rPr>
            <a:t>But</a:t>
          </a:r>
          <a:r>
            <a:rPr lang="en-GB" sz="1200">
              <a:latin typeface="Arial" pitchFamily="34" charset="0"/>
              <a:cs typeface="Arial" pitchFamily="34" charset="0"/>
            </a:rPr>
            <a:t> value for money and fairness apply to both types of charges</a:t>
          </a:r>
        </a:p>
      </dgm:t>
    </dgm:pt>
    <dgm:pt modelId="{5E7B9183-069F-410C-9DA4-60D4B6653E08}" type="parTrans" cxnId="{B92B8F6C-10F0-4C06-AB12-0763906D9358}">
      <dgm:prSet/>
      <dgm:spPr/>
      <dgm:t>
        <a:bodyPr/>
        <a:lstStyle/>
        <a:p>
          <a:endParaRPr lang="en-GB"/>
        </a:p>
      </dgm:t>
    </dgm:pt>
    <dgm:pt modelId="{B1237EE3-4095-42D4-B13E-710AA214B944}" type="sibTrans" cxnId="{B92B8F6C-10F0-4C06-AB12-0763906D9358}">
      <dgm:prSet/>
      <dgm:spPr/>
      <dgm:t>
        <a:bodyPr/>
        <a:lstStyle/>
        <a:p>
          <a:endParaRPr lang="en-GB"/>
        </a:p>
      </dgm:t>
    </dgm:pt>
    <dgm:pt modelId="{F1262808-1F9F-4464-AA59-B6B050352602}">
      <dgm:prSet phldrT="[Text]" custT="1"/>
      <dgm:spPr/>
      <dgm:t>
        <a:bodyPr/>
        <a:lstStyle/>
        <a:p>
          <a:r>
            <a:rPr lang="en-GB" sz="1400" b="0">
              <a:latin typeface="Arial" pitchFamily="34" charset="0"/>
              <a:cs typeface="Arial" pitchFamily="34" charset="0"/>
            </a:rPr>
            <a:t>Are you a </a:t>
          </a:r>
          <a:r>
            <a:rPr lang="en-GB" sz="1400" b="1">
              <a:latin typeface="Arial" pitchFamily="34" charset="0"/>
              <a:cs typeface="Arial" pitchFamily="34" charset="0"/>
            </a:rPr>
            <a:t>stock</a:t>
          </a:r>
          <a:r>
            <a:rPr lang="en-GB" sz="1400" b="0">
              <a:latin typeface="Arial" pitchFamily="34" charset="0"/>
              <a:cs typeface="Arial" pitchFamily="34" charset="0"/>
            </a:rPr>
            <a:t> transfer organisation (LSVT)?	</a:t>
          </a:r>
        </a:p>
      </dgm:t>
    </dgm:pt>
    <dgm:pt modelId="{D9E3BEF9-F657-4494-BE7B-ED4190B302E0}" type="parTrans" cxnId="{B3AFBCDB-3429-48C3-A39B-1B176AD8FD48}">
      <dgm:prSet/>
      <dgm:spPr/>
      <dgm:t>
        <a:bodyPr/>
        <a:lstStyle/>
        <a:p>
          <a:endParaRPr lang="en-GB"/>
        </a:p>
      </dgm:t>
    </dgm:pt>
    <dgm:pt modelId="{8F1B218B-6EA1-492F-A35D-B7A067E9BBEC}" type="sibTrans" cxnId="{B3AFBCDB-3429-48C3-A39B-1B176AD8FD48}">
      <dgm:prSet/>
      <dgm:spPr/>
      <dgm:t>
        <a:bodyPr/>
        <a:lstStyle/>
        <a:p>
          <a:endParaRPr lang="en-GB"/>
        </a:p>
      </dgm:t>
    </dgm:pt>
    <dgm:pt modelId="{B884E07C-2C42-4E4A-BA2E-A805DF9B60E1}">
      <dgm:prSet phldrT="[Text]" custT="1"/>
      <dgm:spPr/>
      <dgm:t>
        <a:bodyPr/>
        <a:lstStyle/>
        <a:p>
          <a:r>
            <a:rPr lang="en-GB" sz="1200">
              <a:latin typeface="Arial" pitchFamily="34" charset="0"/>
              <a:cs typeface="Arial" pitchFamily="34" charset="0"/>
            </a:rPr>
            <a:t>Any constraints or</a:t>
          </a:r>
        </a:p>
      </dgm:t>
    </dgm:pt>
    <dgm:pt modelId="{979B1ED4-5300-4E9D-9AFB-152A513741E4}" type="parTrans" cxnId="{7CDB2CBA-C6B8-4482-B49A-5D4262E7F608}">
      <dgm:prSet/>
      <dgm:spPr/>
      <dgm:t>
        <a:bodyPr/>
        <a:lstStyle/>
        <a:p>
          <a:endParaRPr lang="en-GB"/>
        </a:p>
      </dgm:t>
    </dgm:pt>
    <dgm:pt modelId="{3993FC26-16E9-425A-93D6-3D5C5796FB77}" type="sibTrans" cxnId="{7CDB2CBA-C6B8-4482-B49A-5D4262E7F608}">
      <dgm:prSet/>
      <dgm:spPr/>
      <dgm:t>
        <a:bodyPr/>
        <a:lstStyle/>
        <a:p>
          <a:endParaRPr lang="en-GB"/>
        </a:p>
      </dgm:t>
    </dgm:pt>
    <dgm:pt modelId="{09493E3C-2492-49DD-9B61-01D304C24655}">
      <dgm:prSet phldrT="[Text]" custT="1"/>
      <dgm:spPr/>
      <dgm:t>
        <a:bodyPr/>
        <a:lstStyle/>
        <a:p>
          <a:r>
            <a:rPr lang="en-GB" sz="1200">
              <a:latin typeface="Arial" pitchFamily="34" charset="0"/>
              <a:cs typeface="Arial" pitchFamily="34" charset="0"/>
            </a:rPr>
            <a:t>timeframe (eg 5 year promises) – </a:t>
          </a:r>
          <a:r>
            <a:rPr lang="en-GB" sz="1200" b="1" i="1">
              <a:latin typeface="Arial" pitchFamily="34" charset="0"/>
              <a:cs typeface="Arial" pitchFamily="34" charset="0"/>
            </a:rPr>
            <a:t>beware                               some are ad infinitum</a:t>
          </a:r>
        </a:p>
      </dgm:t>
    </dgm:pt>
    <dgm:pt modelId="{ED7912FA-9775-432C-B0A9-901A7C5C4DA9}" type="parTrans" cxnId="{EF6F2F2B-77A2-424D-B593-F5BC8B5BCE35}">
      <dgm:prSet/>
      <dgm:spPr/>
      <dgm:t>
        <a:bodyPr/>
        <a:lstStyle/>
        <a:p>
          <a:endParaRPr lang="en-GB"/>
        </a:p>
      </dgm:t>
    </dgm:pt>
    <dgm:pt modelId="{7ED13B6F-E2C9-4AAD-9212-F1729278377B}" type="sibTrans" cxnId="{EF6F2F2B-77A2-424D-B593-F5BC8B5BCE35}">
      <dgm:prSet/>
      <dgm:spPr/>
      <dgm:t>
        <a:bodyPr/>
        <a:lstStyle/>
        <a:p>
          <a:endParaRPr lang="en-GB"/>
        </a:p>
      </dgm:t>
    </dgm:pt>
    <dgm:pt modelId="{EFE5A47A-6D05-40AF-BDFB-F337187706B1}">
      <dgm:prSet phldrT="[Text]" custT="1"/>
      <dgm:spPr/>
      <dgm:t>
        <a:bodyPr/>
        <a:lstStyle/>
        <a:p>
          <a:r>
            <a:rPr lang="en-GB" sz="1400">
              <a:latin typeface="Arial" pitchFamily="34" charset="0"/>
              <a:cs typeface="Arial" pitchFamily="34" charset="0"/>
            </a:rPr>
            <a:t>Location and rent </a:t>
          </a:r>
          <a:r>
            <a:rPr lang="en-GB" sz="1400" b="1">
              <a:latin typeface="Arial" pitchFamily="34" charset="0"/>
              <a:cs typeface="Arial" pitchFamily="34" charset="0"/>
            </a:rPr>
            <a:t>structure-</a:t>
          </a:r>
          <a:r>
            <a:rPr lang="en-GB" sz="1400">
              <a:latin typeface="Arial" pitchFamily="34" charset="0"/>
              <a:cs typeface="Arial" pitchFamily="34" charset="0"/>
            </a:rPr>
            <a:t> which country?</a:t>
          </a:r>
          <a:endParaRPr lang="en-GB" sz="1400" b="1" i="1">
            <a:latin typeface="Arial" pitchFamily="34" charset="0"/>
            <a:cs typeface="Arial" pitchFamily="34" charset="0"/>
          </a:endParaRPr>
        </a:p>
      </dgm:t>
    </dgm:pt>
    <dgm:pt modelId="{0DEC8CF1-7F7A-4C60-927E-7F2A8041599A}" type="parTrans" cxnId="{ED057A3B-98B7-4078-A0A6-9E09384DC25E}">
      <dgm:prSet/>
      <dgm:spPr/>
      <dgm:t>
        <a:bodyPr/>
        <a:lstStyle/>
        <a:p>
          <a:endParaRPr lang="en-GB"/>
        </a:p>
      </dgm:t>
    </dgm:pt>
    <dgm:pt modelId="{A2D095D9-A864-47BF-8DCB-AF92A217D358}" type="sibTrans" cxnId="{ED057A3B-98B7-4078-A0A6-9E09384DC25E}">
      <dgm:prSet/>
      <dgm:spPr/>
      <dgm:t>
        <a:bodyPr/>
        <a:lstStyle/>
        <a:p>
          <a:endParaRPr lang="en-GB"/>
        </a:p>
      </dgm:t>
    </dgm:pt>
    <dgm:pt modelId="{45C2529F-789A-46AA-89E0-01ACD666ECCD}">
      <dgm:prSet custT="1"/>
      <dgm:spPr/>
      <dgm:t>
        <a:bodyPr rIns="36000"/>
        <a:lstStyle/>
        <a:p>
          <a:r>
            <a:rPr lang="en-GB" sz="1200">
              <a:latin typeface="Arial" pitchFamily="34" charset="0"/>
              <a:cs typeface="Arial" pitchFamily="34" charset="0"/>
            </a:rPr>
            <a:t>Wales - government directive is for organisations to “de-pool” (disaggregate) which means that service charges should be identified separately from rents.</a:t>
          </a:r>
        </a:p>
      </dgm:t>
    </dgm:pt>
    <dgm:pt modelId="{7BE05B90-BD03-4F41-B1A8-29F8B1361E47}" type="parTrans" cxnId="{744A5E3B-7C33-4AD6-8A67-A3E9ADAFDE9B}">
      <dgm:prSet/>
      <dgm:spPr/>
      <dgm:t>
        <a:bodyPr/>
        <a:lstStyle/>
        <a:p>
          <a:endParaRPr lang="en-GB"/>
        </a:p>
      </dgm:t>
    </dgm:pt>
    <dgm:pt modelId="{0C5E48A0-AC80-41CE-AF98-219DD119C85B}" type="sibTrans" cxnId="{744A5E3B-7C33-4AD6-8A67-A3E9ADAFDE9B}">
      <dgm:prSet/>
      <dgm:spPr/>
      <dgm:t>
        <a:bodyPr/>
        <a:lstStyle/>
        <a:p>
          <a:endParaRPr lang="en-GB"/>
        </a:p>
      </dgm:t>
    </dgm:pt>
    <dgm:pt modelId="{A81B926F-C2AE-4935-BFE2-C2488B5BB373}">
      <dgm:prSet custT="1"/>
      <dgm:spPr/>
      <dgm:t>
        <a:bodyPr rIns="36000"/>
        <a:lstStyle/>
        <a:p>
          <a:r>
            <a:rPr lang="en-GB" sz="1200">
              <a:latin typeface="Arial" pitchFamily="34" charset="0"/>
              <a:cs typeface="Arial" pitchFamily="34" charset="0"/>
            </a:rPr>
            <a:t>Scotland - accounting directive state service charges have to be identified separately from rents. </a:t>
          </a:r>
        </a:p>
      </dgm:t>
    </dgm:pt>
    <dgm:pt modelId="{D3B86C1B-9F7F-4578-9DDD-CD96A538C8B0}" type="parTrans" cxnId="{B5FF3371-51F8-45C6-8A85-88044D2EA11D}">
      <dgm:prSet/>
      <dgm:spPr/>
      <dgm:t>
        <a:bodyPr/>
        <a:lstStyle/>
        <a:p>
          <a:endParaRPr lang="en-GB"/>
        </a:p>
      </dgm:t>
    </dgm:pt>
    <dgm:pt modelId="{4D57C9FD-9912-44D1-8B88-F21A95786832}" type="sibTrans" cxnId="{B5FF3371-51F8-45C6-8A85-88044D2EA11D}">
      <dgm:prSet/>
      <dgm:spPr/>
      <dgm:t>
        <a:bodyPr/>
        <a:lstStyle/>
        <a:p>
          <a:endParaRPr lang="en-GB"/>
        </a:p>
      </dgm:t>
    </dgm:pt>
    <dgm:pt modelId="{FD4277EC-211C-4550-BC3A-B4512DD33D95}">
      <dgm:prSet phldrT="[Text]" custT="1"/>
      <dgm:spPr/>
      <dgm:t>
        <a:bodyPr rIns="36000"/>
        <a:lstStyle/>
        <a:p>
          <a:r>
            <a:rPr lang="en-GB" sz="1200">
              <a:latin typeface="Arial" pitchFamily="34" charset="0"/>
              <a:cs typeface="Arial" pitchFamily="34" charset="0"/>
            </a:rPr>
            <a:t>England - rent setting on rent restructuring so any service charges are recovered separately or subsidised, either deliberately or by default</a:t>
          </a:r>
          <a:endParaRPr lang="en-GB" sz="1200" b="1" i="1">
            <a:latin typeface="Arial" pitchFamily="34" charset="0"/>
            <a:cs typeface="Arial" pitchFamily="34" charset="0"/>
          </a:endParaRPr>
        </a:p>
      </dgm:t>
    </dgm:pt>
    <dgm:pt modelId="{9D9DD0C6-53E8-45E1-89AC-282FF51237AD}" type="parTrans" cxnId="{C322660C-6ADC-4987-8851-DE564564AD22}">
      <dgm:prSet/>
      <dgm:spPr/>
      <dgm:t>
        <a:bodyPr/>
        <a:lstStyle/>
        <a:p>
          <a:endParaRPr lang="en-GB"/>
        </a:p>
      </dgm:t>
    </dgm:pt>
    <dgm:pt modelId="{80979E0A-5625-457A-96D6-1403FC1D92DB}" type="sibTrans" cxnId="{C322660C-6ADC-4987-8851-DE564564AD22}">
      <dgm:prSet/>
      <dgm:spPr/>
      <dgm:t>
        <a:bodyPr/>
        <a:lstStyle/>
        <a:p>
          <a:endParaRPr lang="en-GB"/>
        </a:p>
      </dgm:t>
    </dgm:pt>
    <dgm:pt modelId="{145F754B-DDEF-4E77-97B6-29E193F67B06}">
      <dgm:prSet custT="1"/>
      <dgm:spPr/>
      <dgm:t>
        <a:bodyPr/>
        <a:lstStyle/>
        <a:p>
          <a:r>
            <a:rPr lang="en-GB" sz="1400">
              <a:latin typeface="Arial" pitchFamily="34" charset="0"/>
              <a:cs typeface="Arial" pitchFamily="34" charset="0"/>
            </a:rPr>
            <a:t>Affordable rents - England  Intermediate rents - Wales</a:t>
          </a:r>
        </a:p>
      </dgm:t>
    </dgm:pt>
    <dgm:pt modelId="{B67AB2CA-DEBD-4B6E-BB12-2FE45D72F73C}" type="parTrans" cxnId="{DE749BD7-E642-4989-BABC-3B000FDEEA99}">
      <dgm:prSet/>
      <dgm:spPr/>
      <dgm:t>
        <a:bodyPr/>
        <a:lstStyle/>
        <a:p>
          <a:endParaRPr lang="en-GB"/>
        </a:p>
      </dgm:t>
    </dgm:pt>
    <dgm:pt modelId="{DEBFDFB6-774B-4F1D-8A7D-B45CDD2C3719}" type="sibTrans" cxnId="{DE749BD7-E642-4989-BABC-3B000FDEEA99}">
      <dgm:prSet/>
      <dgm:spPr/>
      <dgm:t>
        <a:bodyPr/>
        <a:lstStyle/>
        <a:p>
          <a:endParaRPr lang="en-GB"/>
        </a:p>
      </dgm:t>
    </dgm:pt>
    <dgm:pt modelId="{0FE30C02-1195-4DA4-A48E-69E864539013}">
      <dgm:prSet custT="1"/>
      <dgm:spPr/>
      <dgm:t>
        <a:bodyPr/>
        <a:lstStyle/>
        <a:p>
          <a:r>
            <a:rPr lang="en-GB" sz="1200">
              <a:latin typeface="Arial" pitchFamily="34" charset="0"/>
              <a:cs typeface="Arial" pitchFamily="34" charset="0"/>
            </a:rPr>
            <a:t>Normally set at 80% of market rent – the ceiling usually includes service charges</a:t>
          </a:r>
        </a:p>
      </dgm:t>
    </dgm:pt>
    <dgm:pt modelId="{26FC7BD1-8868-4EF4-A493-B3CF4640AE61}" type="parTrans" cxnId="{02D2A7F0-B6AE-481D-A39E-45F000050638}">
      <dgm:prSet/>
      <dgm:spPr/>
      <dgm:t>
        <a:bodyPr/>
        <a:lstStyle/>
        <a:p>
          <a:endParaRPr lang="en-GB"/>
        </a:p>
      </dgm:t>
    </dgm:pt>
    <dgm:pt modelId="{536C0420-C993-4202-B0DE-CF8E90C968A7}" type="sibTrans" cxnId="{02D2A7F0-B6AE-481D-A39E-45F000050638}">
      <dgm:prSet/>
      <dgm:spPr/>
      <dgm:t>
        <a:bodyPr/>
        <a:lstStyle/>
        <a:p>
          <a:endParaRPr lang="en-GB"/>
        </a:p>
      </dgm:t>
    </dgm:pt>
    <dgm:pt modelId="{312794D4-068A-40B8-8D6E-0C087A3D1D82}">
      <dgm:prSet custT="1"/>
      <dgm:spPr/>
      <dgm:t>
        <a:bodyPr rIns="36000"/>
        <a:lstStyle/>
        <a:p>
          <a:r>
            <a:rPr lang="en-GB" sz="1200">
              <a:latin typeface="Arial" pitchFamily="34" charset="0"/>
              <a:cs typeface="Arial" pitchFamily="34" charset="0"/>
            </a:rPr>
            <a:t>Northern Ireland Housing Executive - service charges should be set out in the tenancy/ leasehold agreement</a:t>
          </a:r>
        </a:p>
      </dgm:t>
    </dgm:pt>
    <dgm:pt modelId="{6971F98C-A824-47BD-8D3F-5ACE93746119}" type="parTrans" cxnId="{D3120730-007C-48C9-8637-0F7F329DD88D}">
      <dgm:prSet/>
      <dgm:spPr/>
      <dgm:t>
        <a:bodyPr/>
        <a:lstStyle/>
        <a:p>
          <a:endParaRPr lang="en-GB"/>
        </a:p>
      </dgm:t>
    </dgm:pt>
    <dgm:pt modelId="{130D6BC4-830E-42A0-A386-E6FF5DC816B3}" type="sibTrans" cxnId="{D3120730-007C-48C9-8637-0F7F329DD88D}">
      <dgm:prSet/>
      <dgm:spPr/>
      <dgm:t>
        <a:bodyPr/>
        <a:lstStyle/>
        <a:p>
          <a:endParaRPr lang="en-GB"/>
        </a:p>
      </dgm:t>
    </dgm:pt>
    <dgm:pt modelId="{53FD1A24-7261-4DD3-BB9C-481FBCB3D45F}">
      <dgm:prSet phldrT="[Text]" custT="1"/>
      <dgm:spPr/>
      <dgm:t>
        <a:bodyPr tIns="108000" rIns="36000" bIns="108000"/>
        <a:lstStyle/>
        <a:p>
          <a:pPr algn="l"/>
          <a:r>
            <a:rPr lang="en-GB" sz="1200">
              <a:latin typeface="Arial" pitchFamily="34" charset="0"/>
              <a:cs typeface="Arial" pitchFamily="34" charset="0"/>
            </a:rPr>
            <a:t>Fixed charges contractual if in the tenancy/  leasehold agreement</a:t>
          </a:r>
        </a:p>
      </dgm:t>
    </dgm:pt>
    <dgm:pt modelId="{B7FC0560-28B0-4F07-B746-57F17F3E8754}" type="parTrans" cxnId="{ABEEAFFC-E92E-4D10-9787-378E8CB448B4}">
      <dgm:prSet/>
      <dgm:spPr/>
      <dgm:t>
        <a:bodyPr/>
        <a:lstStyle/>
        <a:p>
          <a:endParaRPr lang="en-GB"/>
        </a:p>
      </dgm:t>
    </dgm:pt>
    <dgm:pt modelId="{5A186F99-C4F5-453A-A09C-751ED7EB41C0}" type="sibTrans" cxnId="{ABEEAFFC-E92E-4D10-9787-378E8CB448B4}">
      <dgm:prSet/>
      <dgm:spPr/>
      <dgm:t>
        <a:bodyPr/>
        <a:lstStyle/>
        <a:p>
          <a:endParaRPr lang="en-GB"/>
        </a:p>
      </dgm:t>
    </dgm:pt>
    <dgm:pt modelId="{18772C6F-3BD1-49C0-B1F4-7DBEF6931CBA}">
      <dgm:prSet phldrT="[Text]" custT="1"/>
      <dgm:spPr/>
      <dgm:t>
        <a:bodyPr/>
        <a:lstStyle/>
        <a:p>
          <a:r>
            <a:rPr lang="en-GB" sz="1400">
              <a:latin typeface="Arial" pitchFamily="34" charset="0"/>
              <a:cs typeface="Arial" pitchFamily="34" charset="0"/>
            </a:rPr>
            <a:t>Tenancies or leaseholds	</a:t>
          </a:r>
        </a:p>
      </dgm:t>
    </dgm:pt>
    <dgm:pt modelId="{48F2CC3E-C655-4BBA-838F-8A8FB570F4E1}" type="parTrans" cxnId="{7C3A843F-64F3-4433-B8D7-299B0917ACE5}">
      <dgm:prSet/>
      <dgm:spPr/>
      <dgm:t>
        <a:bodyPr/>
        <a:lstStyle/>
        <a:p>
          <a:endParaRPr lang="en-GB"/>
        </a:p>
      </dgm:t>
    </dgm:pt>
    <dgm:pt modelId="{48CDEA66-40E8-4F29-A13E-B633F64D7CD3}" type="sibTrans" cxnId="{7C3A843F-64F3-4433-B8D7-299B0917ACE5}">
      <dgm:prSet/>
      <dgm:spPr/>
      <dgm:t>
        <a:bodyPr/>
        <a:lstStyle/>
        <a:p>
          <a:endParaRPr lang="en-GB"/>
        </a:p>
      </dgm:t>
    </dgm:pt>
    <dgm:pt modelId="{B31C5B3F-B831-4A62-9B0C-647820A19C08}">
      <dgm:prSet phldrT="[Text]" custT="1"/>
      <dgm:spPr/>
      <dgm:t>
        <a:bodyPr/>
        <a:lstStyle/>
        <a:p>
          <a:r>
            <a:rPr lang="en-GB" sz="1200">
              <a:latin typeface="Arial" pitchFamily="34" charset="0"/>
              <a:cs typeface="Arial" pitchFamily="34" charset="0"/>
            </a:rPr>
            <a:t>Beware: an agreement can narrow your legal power</a:t>
          </a:r>
        </a:p>
      </dgm:t>
    </dgm:pt>
    <dgm:pt modelId="{1EA8AAC7-56BA-485E-A49E-95D113E21B93}" type="parTrans" cxnId="{41B10326-B276-4F7C-93E4-B73477F39ACC}">
      <dgm:prSet/>
      <dgm:spPr/>
      <dgm:t>
        <a:bodyPr/>
        <a:lstStyle/>
        <a:p>
          <a:endParaRPr lang="en-GB"/>
        </a:p>
      </dgm:t>
    </dgm:pt>
    <dgm:pt modelId="{792E4DC9-3A5F-41F9-B800-C2FC3667636B}" type="sibTrans" cxnId="{41B10326-B276-4F7C-93E4-B73477F39ACC}">
      <dgm:prSet/>
      <dgm:spPr/>
      <dgm:t>
        <a:bodyPr/>
        <a:lstStyle/>
        <a:p>
          <a:endParaRPr lang="en-GB"/>
        </a:p>
      </dgm:t>
    </dgm:pt>
    <dgm:pt modelId="{B3F6B615-7FCB-4350-9CA3-5B507013854D}">
      <dgm:prSet phldrT="[Text]" custT="1"/>
      <dgm:spPr/>
      <dgm:t>
        <a:bodyPr/>
        <a:lstStyle/>
        <a:p>
          <a:r>
            <a:rPr lang="en-GB" sz="1200">
              <a:latin typeface="Arial" pitchFamily="34" charset="0"/>
              <a:cs typeface="Arial" pitchFamily="34" charset="0"/>
            </a:rPr>
            <a:t>Are there any restrictions?</a:t>
          </a:r>
        </a:p>
      </dgm:t>
    </dgm:pt>
    <dgm:pt modelId="{D7AB550A-BB14-4E2D-9225-C8745731C24F}" type="parTrans" cxnId="{684A000C-01EE-483B-BC74-90E187141FF1}">
      <dgm:prSet/>
      <dgm:spPr/>
      <dgm:t>
        <a:bodyPr/>
        <a:lstStyle/>
        <a:p>
          <a:endParaRPr lang="en-GB"/>
        </a:p>
      </dgm:t>
    </dgm:pt>
    <dgm:pt modelId="{DADDF35C-A2EF-4692-B597-DBAB30A89801}" type="sibTrans" cxnId="{684A000C-01EE-483B-BC74-90E187141FF1}">
      <dgm:prSet/>
      <dgm:spPr/>
      <dgm:t>
        <a:bodyPr/>
        <a:lstStyle/>
        <a:p>
          <a:endParaRPr lang="en-GB"/>
        </a:p>
      </dgm:t>
    </dgm:pt>
    <dgm:pt modelId="{D44FCD75-41C8-4D8E-ACFA-E86174CCC8BE}">
      <dgm:prSet phldrT="[Text]" custT="1"/>
      <dgm:spPr/>
      <dgm:t>
        <a:bodyPr/>
        <a:lstStyle/>
        <a:p>
          <a:r>
            <a:rPr lang="en-GB" sz="1200">
              <a:latin typeface="Arial" pitchFamily="34" charset="0"/>
              <a:cs typeface="Arial" pitchFamily="34" charset="0"/>
            </a:rPr>
            <a:t>Identify each type of agreement </a:t>
          </a:r>
        </a:p>
      </dgm:t>
    </dgm:pt>
    <dgm:pt modelId="{CE11953D-19E5-414C-97F0-A89F1B4DE776}" type="parTrans" cxnId="{95BE952F-1B97-4C98-8373-0F86BE1261F3}">
      <dgm:prSet/>
      <dgm:spPr/>
      <dgm:t>
        <a:bodyPr/>
        <a:lstStyle/>
        <a:p>
          <a:endParaRPr lang="en-GB"/>
        </a:p>
      </dgm:t>
    </dgm:pt>
    <dgm:pt modelId="{16936997-5E13-4121-A7DB-9054F8620942}" type="sibTrans" cxnId="{95BE952F-1B97-4C98-8373-0F86BE1261F3}">
      <dgm:prSet/>
      <dgm:spPr/>
      <dgm:t>
        <a:bodyPr/>
        <a:lstStyle/>
        <a:p>
          <a:endParaRPr lang="en-GB"/>
        </a:p>
      </dgm:t>
    </dgm:pt>
    <dgm:pt modelId="{152C8801-E1D8-42BE-8797-0C4C2004F445}" type="pres">
      <dgm:prSet presAssocID="{945966B5-10D2-4481-A854-2C0CED33A3EC}" presName="Name0" presStyleCnt="0">
        <dgm:presLayoutVars>
          <dgm:dir/>
          <dgm:animLvl val="lvl"/>
          <dgm:resizeHandles val="exact"/>
        </dgm:presLayoutVars>
      </dgm:prSet>
      <dgm:spPr/>
      <dgm:t>
        <a:bodyPr/>
        <a:lstStyle/>
        <a:p>
          <a:endParaRPr lang="en-GB"/>
        </a:p>
      </dgm:t>
    </dgm:pt>
    <dgm:pt modelId="{760DDA0C-8E8B-4199-A950-71A7D3BE34AB}" type="pres">
      <dgm:prSet presAssocID="{18772C6F-3BD1-49C0-B1F4-7DBEF6931CBA}" presName="linNode" presStyleCnt="0"/>
      <dgm:spPr/>
    </dgm:pt>
    <dgm:pt modelId="{F333D2A9-A063-4E0D-A4B3-39FB90B97CDD}" type="pres">
      <dgm:prSet presAssocID="{18772C6F-3BD1-49C0-B1F4-7DBEF6931CBA}" presName="parentText" presStyleLbl="node1" presStyleIdx="0" presStyleCnt="5" custScaleY="31450">
        <dgm:presLayoutVars>
          <dgm:chMax val="1"/>
          <dgm:bulletEnabled val="1"/>
        </dgm:presLayoutVars>
      </dgm:prSet>
      <dgm:spPr/>
      <dgm:t>
        <a:bodyPr/>
        <a:lstStyle/>
        <a:p>
          <a:endParaRPr lang="en-GB"/>
        </a:p>
      </dgm:t>
    </dgm:pt>
    <dgm:pt modelId="{07070F9F-49E3-4371-8EBC-35BEB9A71197}" type="pres">
      <dgm:prSet presAssocID="{18772C6F-3BD1-49C0-B1F4-7DBEF6931CBA}" presName="descendantText" presStyleLbl="alignAccFollowNode1" presStyleIdx="0" presStyleCnt="5" custScaleY="53957">
        <dgm:presLayoutVars>
          <dgm:bulletEnabled val="1"/>
        </dgm:presLayoutVars>
      </dgm:prSet>
      <dgm:spPr/>
      <dgm:t>
        <a:bodyPr/>
        <a:lstStyle/>
        <a:p>
          <a:endParaRPr lang="en-GB"/>
        </a:p>
      </dgm:t>
    </dgm:pt>
    <dgm:pt modelId="{69273CA3-BBA5-4B80-B992-FC1840EAA5C8}" type="pres">
      <dgm:prSet presAssocID="{48CDEA66-40E8-4F29-A13E-B633F64D7CD3}" presName="sp" presStyleCnt="0"/>
      <dgm:spPr/>
    </dgm:pt>
    <dgm:pt modelId="{A448BB0C-0C34-4FD5-ABA6-8D796FA4B8DA}" type="pres">
      <dgm:prSet presAssocID="{68F02A5F-2953-450F-9A13-D826580C7E15}" presName="linNode" presStyleCnt="0"/>
      <dgm:spPr/>
    </dgm:pt>
    <dgm:pt modelId="{5A9000E7-E3FF-49E4-AA1B-4C9C980FF81B}" type="pres">
      <dgm:prSet presAssocID="{68F02A5F-2953-450F-9A13-D826580C7E15}" presName="parentText" presStyleLbl="node1" presStyleIdx="1" presStyleCnt="5" custScaleY="47776">
        <dgm:presLayoutVars>
          <dgm:chMax val="1"/>
          <dgm:bulletEnabled val="1"/>
        </dgm:presLayoutVars>
      </dgm:prSet>
      <dgm:spPr/>
      <dgm:t>
        <a:bodyPr/>
        <a:lstStyle/>
        <a:p>
          <a:endParaRPr lang="en-GB"/>
        </a:p>
      </dgm:t>
    </dgm:pt>
    <dgm:pt modelId="{7E6475B1-1839-4629-9B3F-828410D83B22}" type="pres">
      <dgm:prSet presAssocID="{68F02A5F-2953-450F-9A13-D826580C7E15}" presName="descendantText" presStyleLbl="alignAccFollowNode1" presStyleIdx="1" presStyleCnt="5" custScaleY="82373">
        <dgm:presLayoutVars>
          <dgm:bulletEnabled val="1"/>
        </dgm:presLayoutVars>
      </dgm:prSet>
      <dgm:spPr/>
      <dgm:t>
        <a:bodyPr/>
        <a:lstStyle/>
        <a:p>
          <a:endParaRPr lang="en-GB"/>
        </a:p>
      </dgm:t>
    </dgm:pt>
    <dgm:pt modelId="{F7E7D80A-64F2-484D-A383-8C1743EBED3A}" type="pres">
      <dgm:prSet presAssocID="{306BD794-FC0C-468B-8BF2-69A1E6D5488B}" presName="sp" presStyleCnt="0"/>
      <dgm:spPr/>
    </dgm:pt>
    <dgm:pt modelId="{C0812D5C-AA85-4B66-ABFC-21FE03C28FE6}" type="pres">
      <dgm:prSet presAssocID="{F1262808-1F9F-4464-AA59-B6B050352602}" presName="linNode" presStyleCnt="0"/>
      <dgm:spPr/>
    </dgm:pt>
    <dgm:pt modelId="{07350228-0B54-4EFA-801D-C12E0BC309F3}" type="pres">
      <dgm:prSet presAssocID="{F1262808-1F9F-4464-AA59-B6B050352602}" presName="parentText" presStyleLbl="node1" presStyleIdx="2" presStyleCnt="5" custScaleY="38414">
        <dgm:presLayoutVars>
          <dgm:chMax val="1"/>
          <dgm:bulletEnabled val="1"/>
        </dgm:presLayoutVars>
      </dgm:prSet>
      <dgm:spPr/>
      <dgm:t>
        <a:bodyPr/>
        <a:lstStyle/>
        <a:p>
          <a:endParaRPr lang="en-GB"/>
        </a:p>
      </dgm:t>
    </dgm:pt>
    <dgm:pt modelId="{3D8EC52D-BDCB-400F-A646-C309F0FC6C89}" type="pres">
      <dgm:prSet presAssocID="{F1262808-1F9F-4464-AA59-B6B050352602}" presName="descendantText" presStyleLbl="alignAccFollowNode1" presStyleIdx="2" presStyleCnt="5" custScaleY="55794">
        <dgm:presLayoutVars>
          <dgm:bulletEnabled val="1"/>
        </dgm:presLayoutVars>
      </dgm:prSet>
      <dgm:spPr/>
      <dgm:t>
        <a:bodyPr/>
        <a:lstStyle/>
        <a:p>
          <a:endParaRPr lang="en-GB"/>
        </a:p>
      </dgm:t>
    </dgm:pt>
    <dgm:pt modelId="{CDBBBFEA-F2FD-4518-ABD2-9BA6E09F6499}" type="pres">
      <dgm:prSet presAssocID="{8F1B218B-6EA1-492F-A35D-B7A067E9BBEC}" presName="sp" presStyleCnt="0"/>
      <dgm:spPr/>
    </dgm:pt>
    <dgm:pt modelId="{FE06F76B-2373-4D44-9998-BED4EB32B222}" type="pres">
      <dgm:prSet presAssocID="{EFE5A47A-6D05-40AF-BDFB-F337187706B1}" presName="linNode" presStyleCnt="0"/>
      <dgm:spPr/>
    </dgm:pt>
    <dgm:pt modelId="{99DCA1F6-7AD8-41A8-B3F7-C60DA65153A4}" type="pres">
      <dgm:prSet presAssocID="{EFE5A47A-6D05-40AF-BDFB-F337187706B1}" presName="parentText" presStyleLbl="node1" presStyleIdx="3" presStyleCnt="5" custScaleY="90196">
        <dgm:presLayoutVars>
          <dgm:chMax val="1"/>
          <dgm:bulletEnabled val="1"/>
        </dgm:presLayoutVars>
      </dgm:prSet>
      <dgm:spPr/>
      <dgm:t>
        <a:bodyPr/>
        <a:lstStyle/>
        <a:p>
          <a:endParaRPr lang="en-GB"/>
        </a:p>
      </dgm:t>
    </dgm:pt>
    <dgm:pt modelId="{3153AB8E-2BC5-4476-AF27-A11098596995}" type="pres">
      <dgm:prSet presAssocID="{EFE5A47A-6D05-40AF-BDFB-F337187706B1}" presName="descendantText" presStyleLbl="alignAccFollowNode1" presStyleIdx="3" presStyleCnt="5" custScaleY="133434">
        <dgm:presLayoutVars>
          <dgm:bulletEnabled val="1"/>
        </dgm:presLayoutVars>
      </dgm:prSet>
      <dgm:spPr/>
      <dgm:t>
        <a:bodyPr/>
        <a:lstStyle/>
        <a:p>
          <a:endParaRPr lang="en-GB"/>
        </a:p>
      </dgm:t>
    </dgm:pt>
    <dgm:pt modelId="{4B708858-E2BF-4560-8048-38F431327F03}" type="pres">
      <dgm:prSet presAssocID="{A2D095D9-A864-47BF-8DCB-AF92A217D358}" presName="sp" presStyleCnt="0"/>
      <dgm:spPr/>
    </dgm:pt>
    <dgm:pt modelId="{7BC9FAA9-BB07-4D22-A3C2-057218E5018B}" type="pres">
      <dgm:prSet presAssocID="{145F754B-DDEF-4E77-97B6-29E193F67B06}" presName="linNode" presStyleCnt="0"/>
      <dgm:spPr/>
    </dgm:pt>
    <dgm:pt modelId="{3BCDC8E7-3AAC-43CB-894B-30F3800C84A3}" type="pres">
      <dgm:prSet presAssocID="{145F754B-DDEF-4E77-97B6-29E193F67B06}" presName="parentText" presStyleLbl="node1" presStyleIdx="4" presStyleCnt="5" custScaleY="35364">
        <dgm:presLayoutVars>
          <dgm:chMax val="1"/>
          <dgm:bulletEnabled val="1"/>
        </dgm:presLayoutVars>
      </dgm:prSet>
      <dgm:spPr/>
      <dgm:t>
        <a:bodyPr/>
        <a:lstStyle/>
        <a:p>
          <a:endParaRPr lang="en-GB"/>
        </a:p>
      </dgm:t>
    </dgm:pt>
    <dgm:pt modelId="{26567A46-3649-4DD1-94CB-23BBB1761CCB}" type="pres">
      <dgm:prSet presAssocID="{145F754B-DDEF-4E77-97B6-29E193F67B06}" presName="descendantText" presStyleLbl="alignAccFollowNode1" presStyleIdx="4" presStyleCnt="5" custScaleY="48805">
        <dgm:presLayoutVars>
          <dgm:bulletEnabled val="1"/>
        </dgm:presLayoutVars>
      </dgm:prSet>
      <dgm:spPr/>
      <dgm:t>
        <a:bodyPr/>
        <a:lstStyle/>
        <a:p>
          <a:endParaRPr lang="en-GB"/>
        </a:p>
      </dgm:t>
    </dgm:pt>
  </dgm:ptLst>
  <dgm:cxnLst>
    <dgm:cxn modelId="{EF6F2F2B-77A2-424D-B593-F5BC8B5BCE35}" srcId="{F1262808-1F9F-4464-AA59-B6B050352602}" destId="{09493E3C-2492-49DD-9B61-01D304C24655}" srcOrd="1" destOrd="0" parTransId="{ED7912FA-9775-432C-B0A9-901A7C5C4DA9}" sibTransId="{7ED13B6F-E2C9-4AAD-9212-F1729278377B}"/>
    <dgm:cxn modelId="{6BE4A358-219D-42EA-8045-4A2A61522EAD}" type="presOf" srcId="{B884E07C-2C42-4E4A-BA2E-A805DF9B60E1}" destId="{3D8EC52D-BDCB-400F-A646-C309F0FC6C89}" srcOrd="0" destOrd="0" presId="urn:microsoft.com/office/officeart/2005/8/layout/vList5"/>
    <dgm:cxn modelId="{02D2A7F0-B6AE-481D-A39E-45F000050638}" srcId="{145F754B-DDEF-4E77-97B6-29E193F67B06}" destId="{0FE30C02-1195-4DA4-A48E-69E864539013}" srcOrd="0" destOrd="0" parTransId="{26FC7BD1-8868-4EF4-A493-B3CF4640AE61}" sibTransId="{536C0420-C993-4202-B0DE-CF8E90C968A7}"/>
    <dgm:cxn modelId="{D3120730-007C-48C9-8637-0F7F329DD88D}" srcId="{EFE5A47A-6D05-40AF-BDFB-F337187706B1}" destId="{312794D4-068A-40B8-8D6E-0C087A3D1D82}" srcOrd="3" destOrd="0" parTransId="{6971F98C-A824-47BD-8D3F-5ACE93746119}" sibTransId="{130D6BC4-830E-42A0-A386-E6FF5DC816B3}"/>
    <dgm:cxn modelId="{B92B8F6C-10F0-4C06-AB12-0763906D9358}" srcId="{68F02A5F-2953-450F-9A13-D826580C7E15}" destId="{2AF08853-9691-45CB-A8D4-CC0DA344087D}" srcOrd="2" destOrd="0" parTransId="{5E7B9183-069F-410C-9DA4-60D4B6653E08}" sibTransId="{B1237EE3-4095-42D4-B13E-710AA214B944}"/>
    <dgm:cxn modelId="{B5FF3371-51F8-45C6-8A85-88044D2EA11D}" srcId="{EFE5A47A-6D05-40AF-BDFB-F337187706B1}" destId="{A81B926F-C2AE-4935-BFE2-C2488B5BB373}" srcOrd="2" destOrd="0" parTransId="{D3B86C1B-9F7F-4578-9DDD-CD96A538C8B0}" sibTransId="{4D57C9FD-9912-44D1-8B88-F21A95786832}"/>
    <dgm:cxn modelId="{6B9332E5-2BC6-4468-B75E-811C783DEDDE}" type="presOf" srcId="{4B0DC3F7-A9B2-4CC5-A321-2F3548E06490}" destId="{7E6475B1-1839-4629-9B3F-828410D83B22}" srcOrd="0" destOrd="0" presId="urn:microsoft.com/office/officeart/2005/8/layout/vList5"/>
    <dgm:cxn modelId="{C3051425-1FDD-49D9-AC7B-9EEBC5EDCDA8}" type="presOf" srcId="{145F754B-DDEF-4E77-97B6-29E193F67B06}" destId="{3BCDC8E7-3AAC-43CB-894B-30F3800C84A3}" srcOrd="0" destOrd="0" presId="urn:microsoft.com/office/officeart/2005/8/layout/vList5"/>
    <dgm:cxn modelId="{DE749BD7-E642-4989-BABC-3B000FDEEA99}" srcId="{945966B5-10D2-4481-A854-2C0CED33A3EC}" destId="{145F754B-DDEF-4E77-97B6-29E193F67B06}" srcOrd="4" destOrd="0" parTransId="{B67AB2CA-DEBD-4B6E-BB12-2FE45D72F73C}" sibTransId="{DEBFDFB6-774B-4F1D-8A7D-B45CDD2C3719}"/>
    <dgm:cxn modelId="{386FB979-EB39-469D-89CD-170190DE5AC8}" type="presOf" srcId="{F1262808-1F9F-4464-AA59-B6B050352602}" destId="{07350228-0B54-4EFA-801D-C12E0BC309F3}" srcOrd="0" destOrd="0" presId="urn:microsoft.com/office/officeart/2005/8/layout/vList5"/>
    <dgm:cxn modelId="{684A000C-01EE-483B-BC74-90E187141FF1}" srcId="{18772C6F-3BD1-49C0-B1F4-7DBEF6931CBA}" destId="{B3F6B615-7FCB-4350-9CA3-5B507013854D}" srcOrd="2" destOrd="0" parTransId="{D7AB550A-BB14-4E2D-9225-C8745731C24F}" sibTransId="{DADDF35C-A2EF-4692-B597-DBAB30A89801}"/>
    <dgm:cxn modelId="{ABEEAFFC-E92E-4D10-9787-378E8CB448B4}" srcId="{68F02A5F-2953-450F-9A13-D826580C7E15}" destId="{53FD1A24-7261-4DD3-BB9C-481FBCB3D45F}" srcOrd="1" destOrd="0" parTransId="{B7FC0560-28B0-4F07-B746-57F17F3E8754}" sibTransId="{5A186F99-C4F5-453A-A09C-751ED7EB41C0}"/>
    <dgm:cxn modelId="{2BB7D565-38DD-41A1-88CF-A95CE91BFD1B}" type="presOf" srcId="{2AF08853-9691-45CB-A8D4-CC0DA344087D}" destId="{7E6475B1-1839-4629-9B3F-828410D83B22}" srcOrd="0" destOrd="2" presId="urn:microsoft.com/office/officeart/2005/8/layout/vList5"/>
    <dgm:cxn modelId="{5A39FA8C-E955-4384-A271-2D99D7572A45}" type="presOf" srcId="{FD4277EC-211C-4550-BC3A-B4512DD33D95}" destId="{3153AB8E-2BC5-4476-AF27-A11098596995}" srcOrd="0" destOrd="0" presId="urn:microsoft.com/office/officeart/2005/8/layout/vList5"/>
    <dgm:cxn modelId="{01D2E2C4-821F-4465-B580-A5050EA112E9}" type="presOf" srcId="{0FE30C02-1195-4DA4-A48E-69E864539013}" destId="{26567A46-3649-4DD1-94CB-23BBB1761CCB}" srcOrd="0" destOrd="0" presId="urn:microsoft.com/office/officeart/2005/8/layout/vList5"/>
    <dgm:cxn modelId="{01F0A909-9082-47DA-8694-D61FBBC1826D}" srcId="{68F02A5F-2953-450F-9A13-D826580C7E15}" destId="{4B0DC3F7-A9B2-4CC5-A321-2F3548E06490}" srcOrd="0" destOrd="0" parTransId="{25E340B2-36ED-4C8D-A07E-AD5BADB5D45D}" sibTransId="{47EEA80F-2F05-4E49-88CA-FB1F7990E47C}"/>
    <dgm:cxn modelId="{E78A5376-D688-4925-9F38-FB6427A47D30}" type="presOf" srcId="{945966B5-10D2-4481-A854-2C0CED33A3EC}" destId="{152C8801-E1D8-42BE-8797-0C4C2004F445}" srcOrd="0" destOrd="0" presId="urn:microsoft.com/office/officeart/2005/8/layout/vList5"/>
    <dgm:cxn modelId="{969A4F2C-054B-4415-831D-41A7625F3CBB}" type="presOf" srcId="{B3F6B615-7FCB-4350-9CA3-5B507013854D}" destId="{07070F9F-49E3-4371-8EBC-35BEB9A71197}" srcOrd="0" destOrd="2" presId="urn:microsoft.com/office/officeart/2005/8/layout/vList5"/>
    <dgm:cxn modelId="{301C9FC8-E7EA-448F-B220-E7C2754F9C78}" type="presOf" srcId="{53FD1A24-7261-4DD3-BB9C-481FBCB3D45F}" destId="{7E6475B1-1839-4629-9B3F-828410D83B22}" srcOrd="0" destOrd="1" presId="urn:microsoft.com/office/officeart/2005/8/layout/vList5"/>
    <dgm:cxn modelId="{ED057A3B-98B7-4078-A0A6-9E09384DC25E}" srcId="{945966B5-10D2-4481-A854-2C0CED33A3EC}" destId="{EFE5A47A-6D05-40AF-BDFB-F337187706B1}" srcOrd="3" destOrd="0" parTransId="{0DEC8CF1-7F7A-4C60-927E-7F2A8041599A}" sibTransId="{A2D095D9-A864-47BF-8DCB-AF92A217D358}"/>
    <dgm:cxn modelId="{2CF80DA0-0A11-451E-9455-4F01567AA3F4}" type="presOf" srcId="{45C2529F-789A-46AA-89E0-01ACD666ECCD}" destId="{3153AB8E-2BC5-4476-AF27-A11098596995}" srcOrd="0" destOrd="1" presId="urn:microsoft.com/office/officeart/2005/8/layout/vList5"/>
    <dgm:cxn modelId="{B3AFBCDB-3429-48C3-A39B-1B176AD8FD48}" srcId="{945966B5-10D2-4481-A854-2C0CED33A3EC}" destId="{F1262808-1F9F-4464-AA59-B6B050352602}" srcOrd="2" destOrd="0" parTransId="{D9E3BEF9-F657-4494-BE7B-ED4190B302E0}" sibTransId="{8F1B218B-6EA1-492F-A35D-B7A067E9BBEC}"/>
    <dgm:cxn modelId="{7C3A843F-64F3-4433-B8D7-299B0917ACE5}" srcId="{945966B5-10D2-4481-A854-2C0CED33A3EC}" destId="{18772C6F-3BD1-49C0-B1F4-7DBEF6931CBA}" srcOrd="0" destOrd="0" parTransId="{48F2CC3E-C655-4BBA-838F-8A8FB570F4E1}" sibTransId="{48CDEA66-40E8-4F29-A13E-B633F64D7CD3}"/>
    <dgm:cxn modelId="{A37295AA-1C8A-4030-B178-12375078806C}" type="presOf" srcId="{18772C6F-3BD1-49C0-B1F4-7DBEF6931CBA}" destId="{F333D2A9-A063-4E0D-A4B3-39FB90B97CDD}" srcOrd="0" destOrd="0" presId="urn:microsoft.com/office/officeart/2005/8/layout/vList5"/>
    <dgm:cxn modelId="{95BE952F-1B97-4C98-8373-0F86BE1261F3}" srcId="{18772C6F-3BD1-49C0-B1F4-7DBEF6931CBA}" destId="{D44FCD75-41C8-4D8E-ACFA-E86174CCC8BE}" srcOrd="1" destOrd="0" parTransId="{CE11953D-19E5-414C-97F0-A89F1B4DE776}" sibTransId="{16936997-5E13-4121-A7DB-9054F8620942}"/>
    <dgm:cxn modelId="{744A5E3B-7C33-4AD6-8A67-A3E9ADAFDE9B}" srcId="{EFE5A47A-6D05-40AF-BDFB-F337187706B1}" destId="{45C2529F-789A-46AA-89E0-01ACD666ECCD}" srcOrd="1" destOrd="0" parTransId="{7BE05B90-BD03-4F41-B1A8-29F8B1361E47}" sibTransId="{0C5E48A0-AC80-41CE-AF98-219DD119C85B}"/>
    <dgm:cxn modelId="{C322660C-6ADC-4987-8851-DE564564AD22}" srcId="{EFE5A47A-6D05-40AF-BDFB-F337187706B1}" destId="{FD4277EC-211C-4550-BC3A-B4512DD33D95}" srcOrd="0" destOrd="0" parTransId="{9D9DD0C6-53E8-45E1-89AC-282FF51237AD}" sibTransId="{80979E0A-5625-457A-96D6-1403FC1D92DB}"/>
    <dgm:cxn modelId="{1A9FE42F-6617-4FD8-8599-C0AB14663067}" srcId="{945966B5-10D2-4481-A854-2C0CED33A3EC}" destId="{68F02A5F-2953-450F-9A13-D826580C7E15}" srcOrd="1" destOrd="0" parTransId="{7ECA1773-2EFA-42C5-B7DB-ACB3BC267365}" sibTransId="{306BD794-FC0C-468B-8BF2-69A1E6D5488B}"/>
    <dgm:cxn modelId="{B6D3CD02-1300-4868-BED6-35B2D6D11142}" type="presOf" srcId="{EFE5A47A-6D05-40AF-BDFB-F337187706B1}" destId="{99DCA1F6-7AD8-41A8-B3F7-C60DA65153A4}" srcOrd="0" destOrd="0" presId="urn:microsoft.com/office/officeart/2005/8/layout/vList5"/>
    <dgm:cxn modelId="{7CDB2CBA-C6B8-4482-B49A-5D4262E7F608}" srcId="{F1262808-1F9F-4464-AA59-B6B050352602}" destId="{B884E07C-2C42-4E4A-BA2E-A805DF9B60E1}" srcOrd="0" destOrd="0" parTransId="{979B1ED4-5300-4E9D-9AFB-152A513741E4}" sibTransId="{3993FC26-16E9-425A-93D6-3D5C5796FB77}"/>
    <dgm:cxn modelId="{DA994F69-AF9F-40E4-A6F8-A0D836527758}" type="presOf" srcId="{B31C5B3F-B831-4A62-9B0C-647820A19C08}" destId="{07070F9F-49E3-4371-8EBC-35BEB9A71197}" srcOrd="0" destOrd="0" presId="urn:microsoft.com/office/officeart/2005/8/layout/vList5"/>
    <dgm:cxn modelId="{8E36BD09-280B-455F-9FB4-61D046BF6072}" type="presOf" srcId="{312794D4-068A-40B8-8D6E-0C087A3D1D82}" destId="{3153AB8E-2BC5-4476-AF27-A11098596995}" srcOrd="0" destOrd="3" presId="urn:microsoft.com/office/officeart/2005/8/layout/vList5"/>
    <dgm:cxn modelId="{0DD7B645-CD8A-4512-807F-73D16AC0E4BC}" type="presOf" srcId="{09493E3C-2492-49DD-9B61-01D304C24655}" destId="{3D8EC52D-BDCB-400F-A646-C309F0FC6C89}" srcOrd="0" destOrd="1" presId="urn:microsoft.com/office/officeart/2005/8/layout/vList5"/>
    <dgm:cxn modelId="{11C76AF4-95B3-4048-B791-C49FF514F285}" type="presOf" srcId="{68F02A5F-2953-450F-9A13-D826580C7E15}" destId="{5A9000E7-E3FF-49E4-AA1B-4C9C980FF81B}" srcOrd="0" destOrd="0" presId="urn:microsoft.com/office/officeart/2005/8/layout/vList5"/>
    <dgm:cxn modelId="{41B10326-B276-4F7C-93E4-B73477F39ACC}" srcId="{18772C6F-3BD1-49C0-B1F4-7DBEF6931CBA}" destId="{B31C5B3F-B831-4A62-9B0C-647820A19C08}" srcOrd="0" destOrd="0" parTransId="{1EA8AAC7-56BA-485E-A49E-95D113E21B93}" sibTransId="{792E4DC9-3A5F-41F9-B800-C2FC3667636B}"/>
    <dgm:cxn modelId="{E60C6DB6-0C43-4F20-BE86-1E5BB05DA8DC}" type="presOf" srcId="{D44FCD75-41C8-4D8E-ACFA-E86174CCC8BE}" destId="{07070F9F-49E3-4371-8EBC-35BEB9A71197}" srcOrd="0" destOrd="1" presId="urn:microsoft.com/office/officeart/2005/8/layout/vList5"/>
    <dgm:cxn modelId="{55D3FFE2-C75F-4160-ACE2-36403F09DB4D}" type="presOf" srcId="{A81B926F-C2AE-4935-BFE2-C2488B5BB373}" destId="{3153AB8E-2BC5-4476-AF27-A11098596995}" srcOrd="0" destOrd="2" presId="urn:microsoft.com/office/officeart/2005/8/layout/vList5"/>
    <dgm:cxn modelId="{D547CFC1-46A8-4AFB-AC8D-25610E783365}" type="presParOf" srcId="{152C8801-E1D8-42BE-8797-0C4C2004F445}" destId="{760DDA0C-8E8B-4199-A950-71A7D3BE34AB}" srcOrd="0" destOrd="0" presId="urn:microsoft.com/office/officeart/2005/8/layout/vList5"/>
    <dgm:cxn modelId="{801629CA-DC7D-470C-80B8-EECF32B42557}" type="presParOf" srcId="{760DDA0C-8E8B-4199-A950-71A7D3BE34AB}" destId="{F333D2A9-A063-4E0D-A4B3-39FB90B97CDD}" srcOrd="0" destOrd="0" presId="urn:microsoft.com/office/officeart/2005/8/layout/vList5"/>
    <dgm:cxn modelId="{492945BB-BF7D-4D12-A66B-B5306232108D}" type="presParOf" srcId="{760DDA0C-8E8B-4199-A950-71A7D3BE34AB}" destId="{07070F9F-49E3-4371-8EBC-35BEB9A71197}" srcOrd="1" destOrd="0" presId="urn:microsoft.com/office/officeart/2005/8/layout/vList5"/>
    <dgm:cxn modelId="{AB7AED38-6AD2-438E-A5E8-720DB5EBE427}" type="presParOf" srcId="{152C8801-E1D8-42BE-8797-0C4C2004F445}" destId="{69273CA3-BBA5-4B80-B992-FC1840EAA5C8}" srcOrd="1" destOrd="0" presId="urn:microsoft.com/office/officeart/2005/8/layout/vList5"/>
    <dgm:cxn modelId="{037E8A7D-94F9-4453-9B05-98211ADB97E2}" type="presParOf" srcId="{152C8801-E1D8-42BE-8797-0C4C2004F445}" destId="{A448BB0C-0C34-4FD5-ABA6-8D796FA4B8DA}" srcOrd="2" destOrd="0" presId="urn:microsoft.com/office/officeart/2005/8/layout/vList5"/>
    <dgm:cxn modelId="{CAB278BE-5603-4862-B88D-A7C76D2AAF8E}" type="presParOf" srcId="{A448BB0C-0C34-4FD5-ABA6-8D796FA4B8DA}" destId="{5A9000E7-E3FF-49E4-AA1B-4C9C980FF81B}" srcOrd="0" destOrd="0" presId="urn:microsoft.com/office/officeart/2005/8/layout/vList5"/>
    <dgm:cxn modelId="{870FB45B-B81E-4D70-BB02-0CB9E2E1B878}" type="presParOf" srcId="{A448BB0C-0C34-4FD5-ABA6-8D796FA4B8DA}" destId="{7E6475B1-1839-4629-9B3F-828410D83B22}" srcOrd="1" destOrd="0" presId="urn:microsoft.com/office/officeart/2005/8/layout/vList5"/>
    <dgm:cxn modelId="{90E06D9F-46ED-41E4-B13A-322FB747F096}" type="presParOf" srcId="{152C8801-E1D8-42BE-8797-0C4C2004F445}" destId="{F7E7D80A-64F2-484D-A383-8C1743EBED3A}" srcOrd="3" destOrd="0" presId="urn:microsoft.com/office/officeart/2005/8/layout/vList5"/>
    <dgm:cxn modelId="{9CEF1F81-47B7-4751-AE6B-D6D5EB17EC41}" type="presParOf" srcId="{152C8801-E1D8-42BE-8797-0C4C2004F445}" destId="{C0812D5C-AA85-4B66-ABFC-21FE03C28FE6}" srcOrd="4" destOrd="0" presId="urn:microsoft.com/office/officeart/2005/8/layout/vList5"/>
    <dgm:cxn modelId="{A2F56CA6-9888-4A89-8EEC-962B8941E665}" type="presParOf" srcId="{C0812D5C-AA85-4B66-ABFC-21FE03C28FE6}" destId="{07350228-0B54-4EFA-801D-C12E0BC309F3}" srcOrd="0" destOrd="0" presId="urn:microsoft.com/office/officeart/2005/8/layout/vList5"/>
    <dgm:cxn modelId="{C7FC3CEB-7D42-4198-B8EB-3EDE6B3F89E4}" type="presParOf" srcId="{C0812D5C-AA85-4B66-ABFC-21FE03C28FE6}" destId="{3D8EC52D-BDCB-400F-A646-C309F0FC6C89}" srcOrd="1" destOrd="0" presId="urn:microsoft.com/office/officeart/2005/8/layout/vList5"/>
    <dgm:cxn modelId="{AAA62B0F-A9D1-4D45-B6F7-E1EDA2A79DB3}" type="presParOf" srcId="{152C8801-E1D8-42BE-8797-0C4C2004F445}" destId="{CDBBBFEA-F2FD-4518-ABD2-9BA6E09F6499}" srcOrd="5" destOrd="0" presId="urn:microsoft.com/office/officeart/2005/8/layout/vList5"/>
    <dgm:cxn modelId="{3A9FC1B0-848A-4301-B383-99841BBDCA13}" type="presParOf" srcId="{152C8801-E1D8-42BE-8797-0C4C2004F445}" destId="{FE06F76B-2373-4D44-9998-BED4EB32B222}" srcOrd="6" destOrd="0" presId="urn:microsoft.com/office/officeart/2005/8/layout/vList5"/>
    <dgm:cxn modelId="{C5EECCB0-ADA3-4554-A53F-3EFCFED8D80D}" type="presParOf" srcId="{FE06F76B-2373-4D44-9998-BED4EB32B222}" destId="{99DCA1F6-7AD8-41A8-B3F7-C60DA65153A4}" srcOrd="0" destOrd="0" presId="urn:microsoft.com/office/officeart/2005/8/layout/vList5"/>
    <dgm:cxn modelId="{34071389-DACB-4019-BCC9-3DE7D22AB6CE}" type="presParOf" srcId="{FE06F76B-2373-4D44-9998-BED4EB32B222}" destId="{3153AB8E-2BC5-4476-AF27-A11098596995}" srcOrd="1" destOrd="0" presId="urn:microsoft.com/office/officeart/2005/8/layout/vList5"/>
    <dgm:cxn modelId="{6BB83AA5-2034-46DD-A334-53578B441C38}" type="presParOf" srcId="{152C8801-E1D8-42BE-8797-0C4C2004F445}" destId="{4B708858-E2BF-4560-8048-38F431327F03}" srcOrd="7" destOrd="0" presId="urn:microsoft.com/office/officeart/2005/8/layout/vList5"/>
    <dgm:cxn modelId="{93DAF5D0-C30E-4F06-B142-0FB6F437253F}" type="presParOf" srcId="{152C8801-E1D8-42BE-8797-0C4C2004F445}" destId="{7BC9FAA9-BB07-4D22-A3C2-057218E5018B}" srcOrd="8" destOrd="0" presId="urn:microsoft.com/office/officeart/2005/8/layout/vList5"/>
    <dgm:cxn modelId="{00280A59-E3F9-48BE-92AC-832A2A9F3B97}" type="presParOf" srcId="{7BC9FAA9-BB07-4D22-A3C2-057218E5018B}" destId="{3BCDC8E7-3AAC-43CB-894B-30F3800C84A3}" srcOrd="0" destOrd="0" presId="urn:microsoft.com/office/officeart/2005/8/layout/vList5"/>
    <dgm:cxn modelId="{B08FDC95-83E6-4AF7-B93D-F3019D276C3E}" type="presParOf" srcId="{7BC9FAA9-BB07-4D22-A3C2-057218E5018B}" destId="{26567A46-3649-4DD1-94CB-23BBB1761CCB}" srcOrd="1" destOrd="0" presId="urn:microsoft.com/office/officeart/2005/8/layout/vList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45966B5-10D2-4481-A854-2C0CED33A3EC}" type="doc">
      <dgm:prSet loTypeId="urn:microsoft.com/office/officeart/2005/8/layout/vList5" loCatId="list" qsTypeId="urn:microsoft.com/office/officeart/2005/8/quickstyle/3d2" qsCatId="3D" csTypeId="urn:microsoft.com/office/officeart/2005/8/colors/accent4_2" csCatId="accent4" phldr="1"/>
      <dgm:spPr/>
      <dgm:t>
        <a:bodyPr/>
        <a:lstStyle/>
        <a:p>
          <a:endParaRPr lang="en-GB"/>
        </a:p>
      </dgm:t>
    </dgm:pt>
    <dgm:pt modelId="{68F02A5F-2953-450F-9A13-D826580C7E15}">
      <dgm:prSet phldrT="[Text]" custT="1"/>
      <dgm:spPr/>
      <dgm:t>
        <a:bodyPr/>
        <a:lstStyle/>
        <a:p>
          <a:r>
            <a:rPr lang="en-GB" sz="1400" b="1">
              <a:latin typeface="Arial" pitchFamily="34" charset="0"/>
              <a:cs typeface="Arial" pitchFamily="34" charset="0"/>
            </a:rPr>
            <a:t>Fixed charges</a:t>
          </a:r>
        </a:p>
      </dgm:t>
    </dgm:pt>
    <dgm:pt modelId="{7ECA1773-2EFA-42C5-B7DB-ACB3BC267365}" type="parTrans" cxnId="{1A9FE42F-6617-4FD8-8599-C0AB14663067}">
      <dgm:prSet/>
      <dgm:spPr/>
      <dgm:t>
        <a:bodyPr/>
        <a:lstStyle/>
        <a:p>
          <a:endParaRPr lang="en-GB" sz="1200">
            <a:latin typeface="Arial" pitchFamily="34" charset="0"/>
            <a:cs typeface="Arial" pitchFamily="34" charset="0"/>
          </a:endParaRPr>
        </a:p>
      </dgm:t>
    </dgm:pt>
    <dgm:pt modelId="{306BD794-FC0C-468B-8BF2-69A1E6D5488B}" type="sibTrans" cxnId="{1A9FE42F-6617-4FD8-8599-C0AB14663067}">
      <dgm:prSet/>
      <dgm:spPr/>
      <dgm:t>
        <a:bodyPr/>
        <a:lstStyle/>
        <a:p>
          <a:endParaRPr lang="en-GB" sz="1200">
            <a:latin typeface="Arial" pitchFamily="34" charset="0"/>
            <a:cs typeface="Arial" pitchFamily="34" charset="0"/>
          </a:endParaRPr>
        </a:p>
      </dgm:t>
    </dgm:pt>
    <dgm:pt modelId="{DB918844-63BC-4BF0-9DC0-BF09E07F17BB}">
      <dgm:prSet custT="1"/>
      <dgm:spPr/>
      <dgm:t>
        <a:bodyPr/>
        <a:lstStyle/>
        <a:p>
          <a:r>
            <a:rPr lang="en-GB" sz="1400" b="1">
              <a:latin typeface="Arial" pitchFamily="34" charset="0"/>
              <a:cs typeface="Arial" pitchFamily="34" charset="0"/>
            </a:rPr>
            <a:t>Variable charges</a:t>
          </a:r>
        </a:p>
      </dgm:t>
    </dgm:pt>
    <dgm:pt modelId="{E0014DA1-1515-470F-A505-5DF637A54BFE}" type="parTrans" cxnId="{3EA7088A-E4CD-4965-BCB7-73064DA621BB}">
      <dgm:prSet/>
      <dgm:spPr/>
      <dgm:t>
        <a:bodyPr/>
        <a:lstStyle/>
        <a:p>
          <a:endParaRPr lang="en-GB" sz="1200">
            <a:latin typeface="Arial" pitchFamily="34" charset="0"/>
            <a:cs typeface="Arial" pitchFamily="34" charset="0"/>
          </a:endParaRPr>
        </a:p>
      </dgm:t>
    </dgm:pt>
    <dgm:pt modelId="{D25A5294-EC33-4905-A427-A8644CBC7E02}" type="sibTrans" cxnId="{3EA7088A-E4CD-4965-BCB7-73064DA621BB}">
      <dgm:prSet/>
      <dgm:spPr/>
      <dgm:t>
        <a:bodyPr/>
        <a:lstStyle/>
        <a:p>
          <a:endParaRPr lang="en-GB" sz="1200">
            <a:latin typeface="Arial" pitchFamily="34" charset="0"/>
            <a:cs typeface="Arial" pitchFamily="34" charset="0"/>
          </a:endParaRPr>
        </a:p>
      </dgm:t>
    </dgm:pt>
    <dgm:pt modelId="{76687925-4E57-4C20-ABBD-4E9ACB648A1F}">
      <dgm:prSet custT="1"/>
      <dgm:spPr/>
      <dgm:t>
        <a:bodyPr/>
        <a:lstStyle/>
        <a:p>
          <a:r>
            <a:rPr lang="en-GB" sz="1400" b="1">
              <a:latin typeface="Arial" pitchFamily="34" charset="0"/>
              <a:cs typeface="Arial" pitchFamily="34" charset="0"/>
            </a:rPr>
            <a:t>Universal credit</a:t>
          </a:r>
        </a:p>
      </dgm:t>
    </dgm:pt>
    <dgm:pt modelId="{08D3464B-439C-4CB7-A670-160A17D8A99E}" type="parTrans" cxnId="{6E22758A-1C71-43E3-BD66-F5E338D03DB7}">
      <dgm:prSet/>
      <dgm:spPr/>
      <dgm:t>
        <a:bodyPr/>
        <a:lstStyle/>
        <a:p>
          <a:endParaRPr lang="en-GB" sz="1200">
            <a:latin typeface="Arial" pitchFamily="34" charset="0"/>
            <a:cs typeface="Arial" pitchFamily="34" charset="0"/>
          </a:endParaRPr>
        </a:p>
      </dgm:t>
    </dgm:pt>
    <dgm:pt modelId="{82399A5F-7C0F-4293-9C18-331D57F467D7}" type="sibTrans" cxnId="{6E22758A-1C71-43E3-BD66-F5E338D03DB7}">
      <dgm:prSet/>
      <dgm:spPr/>
      <dgm:t>
        <a:bodyPr/>
        <a:lstStyle/>
        <a:p>
          <a:endParaRPr lang="en-GB" sz="1200">
            <a:latin typeface="Arial" pitchFamily="34" charset="0"/>
            <a:cs typeface="Arial" pitchFamily="34" charset="0"/>
          </a:endParaRPr>
        </a:p>
      </dgm:t>
    </dgm:pt>
    <dgm:pt modelId="{DD18078C-3470-45FF-B6F4-3AB926826C75}">
      <dgm:prSet phldrT="[Text]" custT="1"/>
      <dgm:spPr/>
      <dgm:t>
        <a:bodyPr/>
        <a:lstStyle/>
        <a:p>
          <a:r>
            <a:rPr lang="en-GB" sz="1200">
              <a:latin typeface="Arial" pitchFamily="34" charset="0"/>
              <a:cs typeface="Arial" pitchFamily="34" charset="0"/>
            </a:rPr>
            <a:t>currently eligible on the whole – some local authority differences</a:t>
          </a:r>
        </a:p>
      </dgm:t>
    </dgm:pt>
    <dgm:pt modelId="{068ECBE1-607B-43CF-8BBD-46CBA127A5D4}" type="parTrans" cxnId="{5F966CF9-E031-4505-92DC-C2697EBE84DB}">
      <dgm:prSet/>
      <dgm:spPr/>
      <dgm:t>
        <a:bodyPr/>
        <a:lstStyle/>
        <a:p>
          <a:endParaRPr lang="en-GB" sz="1200">
            <a:latin typeface="Arial" pitchFamily="34" charset="0"/>
            <a:cs typeface="Arial" pitchFamily="34" charset="0"/>
          </a:endParaRPr>
        </a:p>
      </dgm:t>
    </dgm:pt>
    <dgm:pt modelId="{E410F3E4-7C41-4D6F-A698-9360D5139525}" type="sibTrans" cxnId="{5F966CF9-E031-4505-92DC-C2697EBE84DB}">
      <dgm:prSet/>
      <dgm:spPr/>
      <dgm:t>
        <a:bodyPr/>
        <a:lstStyle/>
        <a:p>
          <a:endParaRPr lang="en-GB" sz="1200">
            <a:latin typeface="Arial" pitchFamily="34" charset="0"/>
            <a:cs typeface="Arial" pitchFamily="34" charset="0"/>
          </a:endParaRPr>
        </a:p>
      </dgm:t>
    </dgm:pt>
    <dgm:pt modelId="{2AAF3E71-2CC0-4207-B2CC-C6C9FE45D6C9}">
      <dgm:prSet custT="1"/>
      <dgm:spPr/>
      <dgm:t>
        <a:bodyPr/>
        <a:lstStyle/>
        <a:p>
          <a:r>
            <a:rPr lang="en-GB" sz="1200">
              <a:latin typeface="Arial" pitchFamily="34" charset="0"/>
              <a:cs typeface="Arial" pitchFamily="34" charset="0"/>
            </a:rPr>
            <a:t>traditionally split between eligible (mainly communal) and non eligible (charges to the individual) but local differences depending on definition</a:t>
          </a:r>
        </a:p>
      </dgm:t>
    </dgm:pt>
    <dgm:pt modelId="{70BC28AC-52CE-4A10-8BB2-4C426C56E46F}" type="parTrans" cxnId="{2CA9332D-177F-4966-8013-88298C0AFC49}">
      <dgm:prSet/>
      <dgm:spPr/>
      <dgm:t>
        <a:bodyPr/>
        <a:lstStyle/>
        <a:p>
          <a:endParaRPr lang="en-GB" sz="1200">
            <a:latin typeface="Arial" pitchFamily="34" charset="0"/>
            <a:cs typeface="Arial" pitchFamily="34" charset="0"/>
          </a:endParaRPr>
        </a:p>
      </dgm:t>
    </dgm:pt>
    <dgm:pt modelId="{7D5642FD-33AD-4A9F-BA64-B5CD39F62218}" type="sibTrans" cxnId="{2CA9332D-177F-4966-8013-88298C0AFC49}">
      <dgm:prSet/>
      <dgm:spPr/>
      <dgm:t>
        <a:bodyPr/>
        <a:lstStyle/>
        <a:p>
          <a:endParaRPr lang="en-GB" sz="1200">
            <a:latin typeface="Arial" pitchFamily="34" charset="0"/>
            <a:cs typeface="Arial" pitchFamily="34" charset="0"/>
          </a:endParaRPr>
        </a:p>
      </dgm:t>
    </dgm:pt>
    <dgm:pt modelId="{38C95BD6-14AF-475C-AA70-C945A630E25A}">
      <dgm:prSet custT="1"/>
      <dgm:spPr/>
      <dgm:t>
        <a:bodyPr/>
        <a:lstStyle/>
        <a:p>
          <a:r>
            <a:rPr lang="en-GB" sz="1200">
              <a:latin typeface="Arial" pitchFamily="34" charset="0"/>
              <a:cs typeface="Arial" pitchFamily="34" charset="0"/>
            </a:rPr>
            <a:t>clearer guidance to be issued Spring 2013 from DWP</a:t>
          </a:r>
        </a:p>
      </dgm:t>
    </dgm:pt>
    <dgm:pt modelId="{B1A88C22-CBEB-4D74-B3DE-D33E0BEA2D4F}" type="parTrans" cxnId="{60D58BCD-ADA4-41BA-8E0B-9ECC9ACD02F1}">
      <dgm:prSet/>
      <dgm:spPr/>
      <dgm:t>
        <a:bodyPr/>
        <a:lstStyle/>
        <a:p>
          <a:endParaRPr lang="en-GB" sz="1200">
            <a:latin typeface="Arial" pitchFamily="34" charset="0"/>
            <a:cs typeface="Arial" pitchFamily="34" charset="0"/>
          </a:endParaRPr>
        </a:p>
      </dgm:t>
    </dgm:pt>
    <dgm:pt modelId="{6FADC7F3-FBE6-4800-ACF1-CC08B8C1D957}" type="sibTrans" cxnId="{60D58BCD-ADA4-41BA-8E0B-9ECC9ACD02F1}">
      <dgm:prSet/>
      <dgm:spPr/>
      <dgm:t>
        <a:bodyPr/>
        <a:lstStyle/>
        <a:p>
          <a:endParaRPr lang="en-GB" sz="1200">
            <a:latin typeface="Arial" pitchFamily="34" charset="0"/>
            <a:cs typeface="Arial" pitchFamily="34" charset="0"/>
          </a:endParaRPr>
        </a:p>
      </dgm:t>
    </dgm:pt>
    <dgm:pt modelId="{33E79B2E-9EAC-436E-8BAB-FDE254F3DEB0}">
      <dgm:prSet custT="1"/>
      <dgm:spPr/>
      <dgm:t>
        <a:bodyPr/>
        <a:lstStyle/>
        <a:p>
          <a:r>
            <a:rPr lang="en-GB" sz="1200">
              <a:latin typeface="Arial" pitchFamily="34" charset="0"/>
              <a:cs typeface="Arial" pitchFamily="34" charset="0"/>
            </a:rPr>
            <a:t>outcome likely to exclude more eligible charges from previously grey areas; likely to force the splitting of fixed charges</a:t>
          </a:r>
        </a:p>
      </dgm:t>
    </dgm:pt>
    <dgm:pt modelId="{8BE29518-FDAB-42DB-B717-72752A374D6A}" type="parTrans" cxnId="{7363C001-C7BF-415B-88E2-927CF909EF75}">
      <dgm:prSet/>
      <dgm:spPr/>
      <dgm:t>
        <a:bodyPr/>
        <a:lstStyle/>
        <a:p>
          <a:endParaRPr lang="en-GB" sz="1200">
            <a:latin typeface="Arial" pitchFamily="34" charset="0"/>
            <a:cs typeface="Arial" pitchFamily="34" charset="0"/>
          </a:endParaRPr>
        </a:p>
      </dgm:t>
    </dgm:pt>
    <dgm:pt modelId="{BB42FB6C-0F9F-4D3B-858D-FC8956E427AF}" type="sibTrans" cxnId="{7363C001-C7BF-415B-88E2-927CF909EF75}">
      <dgm:prSet/>
      <dgm:spPr/>
      <dgm:t>
        <a:bodyPr/>
        <a:lstStyle/>
        <a:p>
          <a:endParaRPr lang="en-GB" sz="1200">
            <a:latin typeface="Arial" pitchFamily="34" charset="0"/>
            <a:cs typeface="Arial" pitchFamily="34" charset="0"/>
          </a:endParaRPr>
        </a:p>
      </dgm:t>
    </dgm:pt>
    <dgm:pt modelId="{152C8801-E1D8-42BE-8797-0C4C2004F445}" type="pres">
      <dgm:prSet presAssocID="{945966B5-10D2-4481-A854-2C0CED33A3EC}" presName="Name0" presStyleCnt="0">
        <dgm:presLayoutVars>
          <dgm:dir/>
          <dgm:animLvl val="lvl"/>
          <dgm:resizeHandles val="exact"/>
        </dgm:presLayoutVars>
      </dgm:prSet>
      <dgm:spPr/>
      <dgm:t>
        <a:bodyPr/>
        <a:lstStyle/>
        <a:p>
          <a:endParaRPr lang="en-GB"/>
        </a:p>
      </dgm:t>
    </dgm:pt>
    <dgm:pt modelId="{A448BB0C-0C34-4FD5-ABA6-8D796FA4B8DA}" type="pres">
      <dgm:prSet presAssocID="{68F02A5F-2953-450F-9A13-D826580C7E15}" presName="linNode" presStyleCnt="0"/>
      <dgm:spPr/>
      <dgm:t>
        <a:bodyPr/>
        <a:lstStyle/>
        <a:p>
          <a:endParaRPr lang="en-GB"/>
        </a:p>
      </dgm:t>
    </dgm:pt>
    <dgm:pt modelId="{5A9000E7-E3FF-49E4-AA1B-4C9C980FF81B}" type="pres">
      <dgm:prSet presAssocID="{68F02A5F-2953-450F-9A13-D826580C7E15}" presName="parentText" presStyleLbl="node1" presStyleIdx="0" presStyleCnt="3" custScaleY="51995">
        <dgm:presLayoutVars>
          <dgm:chMax val="1"/>
          <dgm:bulletEnabled val="1"/>
        </dgm:presLayoutVars>
      </dgm:prSet>
      <dgm:spPr/>
      <dgm:t>
        <a:bodyPr/>
        <a:lstStyle/>
        <a:p>
          <a:endParaRPr lang="en-GB"/>
        </a:p>
      </dgm:t>
    </dgm:pt>
    <dgm:pt modelId="{7E6475B1-1839-4629-9B3F-828410D83B22}" type="pres">
      <dgm:prSet presAssocID="{68F02A5F-2953-450F-9A13-D826580C7E15}" presName="descendantText" presStyleLbl="alignAccFollowNode1" presStyleIdx="0" presStyleCnt="3" custScaleY="84447">
        <dgm:presLayoutVars>
          <dgm:bulletEnabled val="1"/>
        </dgm:presLayoutVars>
      </dgm:prSet>
      <dgm:spPr/>
      <dgm:t>
        <a:bodyPr/>
        <a:lstStyle/>
        <a:p>
          <a:endParaRPr lang="en-GB"/>
        </a:p>
      </dgm:t>
    </dgm:pt>
    <dgm:pt modelId="{F7E7D80A-64F2-484D-A383-8C1743EBED3A}" type="pres">
      <dgm:prSet presAssocID="{306BD794-FC0C-468B-8BF2-69A1E6D5488B}" presName="sp" presStyleCnt="0"/>
      <dgm:spPr/>
      <dgm:t>
        <a:bodyPr/>
        <a:lstStyle/>
        <a:p>
          <a:endParaRPr lang="en-GB"/>
        </a:p>
      </dgm:t>
    </dgm:pt>
    <dgm:pt modelId="{3D11107C-0BC3-46B5-AFE1-35DBC8069F03}" type="pres">
      <dgm:prSet presAssocID="{DB918844-63BC-4BF0-9DC0-BF09E07F17BB}" presName="linNode" presStyleCnt="0"/>
      <dgm:spPr/>
      <dgm:t>
        <a:bodyPr/>
        <a:lstStyle/>
        <a:p>
          <a:endParaRPr lang="en-GB"/>
        </a:p>
      </dgm:t>
    </dgm:pt>
    <dgm:pt modelId="{311BA076-1155-40B1-A245-A1503A85DC1A}" type="pres">
      <dgm:prSet presAssocID="{DB918844-63BC-4BF0-9DC0-BF09E07F17BB}" presName="parentText" presStyleLbl="node1" presStyleIdx="1" presStyleCnt="3" custScaleY="58636">
        <dgm:presLayoutVars>
          <dgm:chMax val="1"/>
          <dgm:bulletEnabled val="1"/>
        </dgm:presLayoutVars>
      </dgm:prSet>
      <dgm:spPr/>
      <dgm:t>
        <a:bodyPr/>
        <a:lstStyle/>
        <a:p>
          <a:endParaRPr lang="en-GB"/>
        </a:p>
      </dgm:t>
    </dgm:pt>
    <dgm:pt modelId="{0DBFB277-24F4-4765-8C10-6C118813401D}" type="pres">
      <dgm:prSet presAssocID="{DB918844-63BC-4BF0-9DC0-BF09E07F17BB}" presName="descendantText" presStyleLbl="alignAccFollowNode1" presStyleIdx="1" presStyleCnt="3">
        <dgm:presLayoutVars>
          <dgm:bulletEnabled val="1"/>
        </dgm:presLayoutVars>
      </dgm:prSet>
      <dgm:spPr/>
      <dgm:t>
        <a:bodyPr/>
        <a:lstStyle/>
        <a:p>
          <a:endParaRPr lang="en-GB"/>
        </a:p>
      </dgm:t>
    </dgm:pt>
    <dgm:pt modelId="{334CDA4F-B7D3-4F2F-A794-2BD7509D8D84}" type="pres">
      <dgm:prSet presAssocID="{D25A5294-EC33-4905-A427-A8644CBC7E02}" presName="sp" presStyleCnt="0"/>
      <dgm:spPr/>
      <dgm:t>
        <a:bodyPr/>
        <a:lstStyle/>
        <a:p>
          <a:endParaRPr lang="en-GB"/>
        </a:p>
      </dgm:t>
    </dgm:pt>
    <dgm:pt modelId="{72B35FD5-E421-4229-A735-2B1C8E5E16E5}" type="pres">
      <dgm:prSet presAssocID="{76687925-4E57-4C20-ABBD-4E9ACB648A1F}" presName="linNode" presStyleCnt="0"/>
      <dgm:spPr/>
      <dgm:t>
        <a:bodyPr/>
        <a:lstStyle/>
        <a:p>
          <a:endParaRPr lang="en-GB"/>
        </a:p>
      </dgm:t>
    </dgm:pt>
    <dgm:pt modelId="{C28F112F-C968-40EC-A2A9-6636867D67F3}" type="pres">
      <dgm:prSet presAssocID="{76687925-4E57-4C20-ABBD-4E9ACB648A1F}" presName="parentText" presStyleLbl="node1" presStyleIdx="2" presStyleCnt="3" custScaleY="78508">
        <dgm:presLayoutVars>
          <dgm:chMax val="1"/>
          <dgm:bulletEnabled val="1"/>
        </dgm:presLayoutVars>
      </dgm:prSet>
      <dgm:spPr/>
      <dgm:t>
        <a:bodyPr/>
        <a:lstStyle/>
        <a:p>
          <a:endParaRPr lang="en-GB"/>
        </a:p>
      </dgm:t>
    </dgm:pt>
    <dgm:pt modelId="{98D1BCDE-7B13-41B1-B820-76219A0D640E}" type="pres">
      <dgm:prSet presAssocID="{76687925-4E57-4C20-ABBD-4E9ACB648A1F}" presName="descendantText" presStyleLbl="alignAccFollowNode1" presStyleIdx="2" presStyleCnt="3" custScaleY="131607">
        <dgm:presLayoutVars>
          <dgm:bulletEnabled val="1"/>
        </dgm:presLayoutVars>
      </dgm:prSet>
      <dgm:spPr/>
      <dgm:t>
        <a:bodyPr/>
        <a:lstStyle/>
        <a:p>
          <a:endParaRPr lang="en-GB"/>
        </a:p>
      </dgm:t>
    </dgm:pt>
  </dgm:ptLst>
  <dgm:cxnLst>
    <dgm:cxn modelId="{5A360366-F681-4F88-958A-85437BB147D7}" type="presOf" srcId="{76687925-4E57-4C20-ABBD-4E9ACB648A1F}" destId="{C28F112F-C968-40EC-A2A9-6636867D67F3}" srcOrd="0" destOrd="0" presId="urn:microsoft.com/office/officeart/2005/8/layout/vList5"/>
    <dgm:cxn modelId="{933DE734-BEC4-4EE8-82A7-18300B5890C4}" type="presOf" srcId="{33E79B2E-9EAC-436E-8BAB-FDE254F3DEB0}" destId="{98D1BCDE-7B13-41B1-B820-76219A0D640E}" srcOrd="0" destOrd="1" presId="urn:microsoft.com/office/officeart/2005/8/layout/vList5"/>
    <dgm:cxn modelId="{4CF960B0-B716-4800-8C73-B91381B73168}" type="presOf" srcId="{DB918844-63BC-4BF0-9DC0-BF09E07F17BB}" destId="{311BA076-1155-40B1-A245-A1503A85DC1A}" srcOrd="0" destOrd="0" presId="urn:microsoft.com/office/officeart/2005/8/layout/vList5"/>
    <dgm:cxn modelId="{2CA9332D-177F-4966-8013-88298C0AFC49}" srcId="{DB918844-63BC-4BF0-9DC0-BF09E07F17BB}" destId="{2AAF3E71-2CC0-4207-B2CC-C6C9FE45D6C9}" srcOrd="0" destOrd="0" parTransId="{70BC28AC-52CE-4A10-8BB2-4C426C56E46F}" sibTransId="{7D5642FD-33AD-4A9F-BA64-B5CD39F62218}"/>
    <dgm:cxn modelId="{9D9E22D9-39C0-4D79-B4F8-72B8F6E540F3}" type="presOf" srcId="{2AAF3E71-2CC0-4207-B2CC-C6C9FE45D6C9}" destId="{0DBFB277-24F4-4765-8C10-6C118813401D}" srcOrd="0" destOrd="0" presId="urn:microsoft.com/office/officeart/2005/8/layout/vList5"/>
    <dgm:cxn modelId="{60D58BCD-ADA4-41BA-8E0B-9ECC9ACD02F1}" srcId="{76687925-4E57-4C20-ABBD-4E9ACB648A1F}" destId="{38C95BD6-14AF-475C-AA70-C945A630E25A}" srcOrd="0" destOrd="0" parTransId="{B1A88C22-CBEB-4D74-B3DE-D33E0BEA2D4F}" sibTransId="{6FADC7F3-FBE6-4800-ACF1-CC08B8C1D957}"/>
    <dgm:cxn modelId="{E4AEF857-1FC7-4085-B0CC-00EB17C2BBFD}" type="presOf" srcId="{DD18078C-3470-45FF-B6F4-3AB926826C75}" destId="{7E6475B1-1839-4629-9B3F-828410D83B22}" srcOrd="0" destOrd="0" presId="urn:microsoft.com/office/officeart/2005/8/layout/vList5"/>
    <dgm:cxn modelId="{4DE48B26-CCB1-4FE4-8038-05437098E05A}" type="presOf" srcId="{68F02A5F-2953-450F-9A13-D826580C7E15}" destId="{5A9000E7-E3FF-49E4-AA1B-4C9C980FF81B}" srcOrd="0" destOrd="0" presId="urn:microsoft.com/office/officeart/2005/8/layout/vList5"/>
    <dgm:cxn modelId="{1A9FE42F-6617-4FD8-8599-C0AB14663067}" srcId="{945966B5-10D2-4481-A854-2C0CED33A3EC}" destId="{68F02A5F-2953-450F-9A13-D826580C7E15}" srcOrd="0" destOrd="0" parTransId="{7ECA1773-2EFA-42C5-B7DB-ACB3BC267365}" sibTransId="{306BD794-FC0C-468B-8BF2-69A1E6D5488B}"/>
    <dgm:cxn modelId="{CCFD6CAF-D3AF-4A25-B232-BC8979752628}" type="presOf" srcId="{945966B5-10D2-4481-A854-2C0CED33A3EC}" destId="{152C8801-E1D8-42BE-8797-0C4C2004F445}" srcOrd="0" destOrd="0" presId="urn:microsoft.com/office/officeart/2005/8/layout/vList5"/>
    <dgm:cxn modelId="{3EA7088A-E4CD-4965-BCB7-73064DA621BB}" srcId="{945966B5-10D2-4481-A854-2C0CED33A3EC}" destId="{DB918844-63BC-4BF0-9DC0-BF09E07F17BB}" srcOrd="1" destOrd="0" parTransId="{E0014DA1-1515-470F-A505-5DF637A54BFE}" sibTransId="{D25A5294-EC33-4905-A427-A8644CBC7E02}"/>
    <dgm:cxn modelId="{6E22758A-1C71-43E3-BD66-F5E338D03DB7}" srcId="{945966B5-10D2-4481-A854-2C0CED33A3EC}" destId="{76687925-4E57-4C20-ABBD-4E9ACB648A1F}" srcOrd="2" destOrd="0" parTransId="{08D3464B-439C-4CB7-A670-160A17D8A99E}" sibTransId="{82399A5F-7C0F-4293-9C18-331D57F467D7}"/>
    <dgm:cxn modelId="{B63DD3CB-3A7F-483E-832B-3E0FC7941B5B}" type="presOf" srcId="{38C95BD6-14AF-475C-AA70-C945A630E25A}" destId="{98D1BCDE-7B13-41B1-B820-76219A0D640E}" srcOrd="0" destOrd="0" presId="urn:microsoft.com/office/officeart/2005/8/layout/vList5"/>
    <dgm:cxn modelId="{5F966CF9-E031-4505-92DC-C2697EBE84DB}" srcId="{68F02A5F-2953-450F-9A13-D826580C7E15}" destId="{DD18078C-3470-45FF-B6F4-3AB926826C75}" srcOrd="0" destOrd="0" parTransId="{068ECBE1-607B-43CF-8BBD-46CBA127A5D4}" sibTransId="{E410F3E4-7C41-4D6F-A698-9360D5139525}"/>
    <dgm:cxn modelId="{7363C001-C7BF-415B-88E2-927CF909EF75}" srcId="{76687925-4E57-4C20-ABBD-4E9ACB648A1F}" destId="{33E79B2E-9EAC-436E-8BAB-FDE254F3DEB0}" srcOrd="1" destOrd="0" parTransId="{8BE29518-FDAB-42DB-B717-72752A374D6A}" sibTransId="{BB42FB6C-0F9F-4D3B-858D-FC8956E427AF}"/>
    <dgm:cxn modelId="{21141949-284A-417F-95BE-44278887BC41}" type="presParOf" srcId="{152C8801-E1D8-42BE-8797-0C4C2004F445}" destId="{A448BB0C-0C34-4FD5-ABA6-8D796FA4B8DA}" srcOrd="0" destOrd="0" presId="urn:microsoft.com/office/officeart/2005/8/layout/vList5"/>
    <dgm:cxn modelId="{C3E40994-2394-4D6B-BA49-E50A68A01464}" type="presParOf" srcId="{A448BB0C-0C34-4FD5-ABA6-8D796FA4B8DA}" destId="{5A9000E7-E3FF-49E4-AA1B-4C9C980FF81B}" srcOrd="0" destOrd="0" presId="urn:microsoft.com/office/officeart/2005/8/layout/vList5"/>
    <dgm:cxn modelId="{28400361-A033-474F-A906-7265B619336C}" type="presParOf" srcId="{A448BB0C-0C34-4FD5-ABA6-8D796FA4B8DA}" destId="{7E6475B1-1839-4629-9B3F-828410D83B22}" srcOrd="1" destOrd="0" presId="urn:microsoft.com/office/officeart/2005/8/layout/vList5"/>
    <dgm:cxn modelId="{F6390835-BAFA-4A36-A1F7-1BD27F213496}" type="presParOf" srcId="{152C8801-E1D8-42BE-8797-0C4C2004F445}" destId="{F7E7D80A-64F2-484D-A383-8C1743EBED3A}" srcOrd="1" destOrd="0" presId="urn:microsoft.com/office/officeart/2005/8/layout/vList5"/>
    <dgm:cxn modelId="{F4DB417C-CA3B-4E07-8A56-33C31F620097}" type="presParOf" srcId="{152C8801-E1D8-42BE-8797-0C4C2004F445}" destId="{3D11107C-0BC3-46B5-AFE1-35DBC8069F03}" srcOrd="2" destOrd="0" presId="urn:microsoft.com/office/officeart/2005/8/layout/vList5"/>
    <dgm:cxn modelId="{0AFE76C8-833D-4017-95E1-0A9FD1A0D899}" type="presParOf" srcId="{3D11107C-0BC3-46B5-AFE1-35DBC8069F03}" destId="{311BA076-1155-40B1-A245-A1503A85DC1A}" srcOrd="0" destOrd="0" presId="urn:microsoft.com/office/officeart/2005/8/layout/vList5"/>
    <dgm:cxn modelId="{67AE4A95-6B71-4504-88E9-95BE8F2C32C4}" type="presParOf" srcId="{3D11107C-0BC3-46B5-AFE1-35DBC8069F03}" destId="{0DBFB277-24F4-4765-8C10-6C118813401D}" srcOrd="1" destOrd="0" presId="urn:microsoft.com/office/officeart/2005/8/layout/vList5"/>
    <dgm:cxn modelId="{F7EEAA35-9DA8-4E4E-A0FD-0E08FC9CAF10}" type="presParOf" srcId="{152C8801-E1D8-42BE-8797-0C4C2004F445}" destId="{334CDA4F-B7D3-4F2F-A794-2BD7509D8D84}" srcOrd="3" destOrd="0" presId="urn:microsoft.com/office/officeart/2005/8/layout/vList5"/>
    <dgm:cxn modelId="{AA1DDB95-3A96-4F29-BAE3-5CEA3646A0EC}" type="presParOf" srcId="{152C8801-E1D8-42BE-8797-0C4C2004F445}" destId="{72B35FD5-E421-4229-A735-2B1C8E5E16E5}" srcOrd="4" destOrd="0" presId="urn:microsoft.com/office/officeart/2005/8/layout/vList5"/>
    <dgm:cxn modelId="{9387F8CB-55A7-427D-BCB0-B2E4EE8B64A2}" type="presParOf" srcId="{72B35FD5-E421-4229-A735-2B1C8E5E16E5}" destId="{C28F112F-C968-40EC-A2A9-6636867D67F3}" srcOrd="0" destOrd="0" presId="urn:microsoft.com/office/officeart/2005/8/layout/vList5"/>
    <dgm:cxn modelId="{07D2AE2F-2C62-43B0-B91A-EE8D3389F0A4}" type="presParOf" srcId="{72B35FD5-E421-4229-A735-2B1C8E5E16E5}" destId="{98D1BCDE-7B13-41B1-B820-76219A0D640E}" srcOrd="1" destOrd="0" presId="urn:microsoft.com/office/officeart/2005/8/layout/vList5"/>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1E6CE7D-710A-45EC-A4CD-E0AD8B14E72A}" type="doc">
      <dgm:prSet loTypeId="urn:microsoft.com/office/officeart/2005/8/layout/chart3" loCatId="relationship" qsTypeId="urn:microsoft.com/office/officeart/2005/8/quickstyle/3d3" qsCatId="3D" csTypeId="urn:microsoft.com/office/officeart/2005/8/colors/colorful5" csCatId="colorful" phldr="1"/>
      <dgm:spPr/>
    </dgm:pt>
    <dgm:pt modelId="{209DC6DF-FC78-45C7-9088-2CB1B8C12C46}">
      <dgm:prSet phldrT="[Text]" custT="1"/>
      <dgm:spPr/>
      <dgm:t>
        <a:bodyPr rIns="0"/>
        <a:lstStyle/>
        <a:p>
          <a:r>
            <a:rPr lang="en-GB" sz="1300" b="1">
              <a:solidFill>
                <a:schemeClr val="tx1"/>
              </a:solidFill>
              <a:latin typeface="Arial" pitchFamily="34" charset="0"/>
              <a:cs typeface="Arial" pitchFamily="34" charset="0"/>
            </a:rPr>
            <a:t>Choices</a:t>
          </a:r>
        </a:p>
      </dgm:t>
    </dgm:pt>
    <dgm:pt modelId="{9416464A-2E10-43DC-9988-9FA10BCE6005}" type="parTrans" cxnId="{4F6C1C9A-A668-44F5-9A04-7776C7DC2509}">
      <dgm:prSet/>
      <dgm:spPr/>
      <dgm:t>
        <a:bodyPr/>
        <a:lstStyle/>
        <a:p>
          <a:endParaRPr lang="en-GB"/>
        </a:p>
      </dgm:t>
    </dgm:pt>
    <dgm:pt modelId="{E00EAF69-640B-468C-AA77-D1EE8E75A9E5}" type="sibTrans" cxnId="{4F6C1C9A-A668-44F5-9A04-7776C7DC2509}">
      <dgm:prSet/>
      <dgm:spPr/>
      <dgm:t>
        <a:bodyPr/>
        <a:lstStyle/>
        <a:p>
          <a:endParaRPr lang="en-GB"/>
        </a:p>
      </dgm:t>
    </dgm:pt>
    <dgm:pt modelId="{081FAE40-91EB-4881-9148-532424F5FDC1}">
      <dgm:prSet custT="1"/>
      <dgm:spPr/>
      <dgm:t>
        <a:bodyPr rIns="0"/>
        <a:lstStyle/>
        <a:p>
          <a:r>
            <a:rPr lang="en-GB" sz="1300" b="1">
              <a:solidFill>
                <a:schemeClr val="tx1"/>
              </a:solidFill>
              <a:latin typeface="Arial" pitchFamily="34" charset="0"/>
              <a:cs typeface="Arial" pitchFamily="34" charset="0"/>
            </a:rPr>
            <a:t>Quality standards</a:t>
          </a:r>
        </a:p>
      </dgm:t>
    </dgm:pt>
    <dgm:pt modelId="{9A4FCF4A-CB03-4F6E-9AAD-683F61A4ED65}" type="parTrans" cxnId="{D15DA2B0-19DC-4B36-A86E-615D8F84DB2F}">
      <dgm:prSet/>
      <dgm:spPr/>
      <dgm:t>
        <a:bodyPr/>
        <a:lstStyle/>
        <a:p>
          <a:endParaRPr lang="en-GB"/>
        </a:p>
      </dgm:t>
    </dgm:pt>
    <dgm:pt modelId="{E51E1E7C-569B-4518-BE2E-B9782527D38C}" type="sibTrans" cxnId="{D15DA2B0-19DC-4B36-A86E-615D8F84DB2F}">
      <dgm:prSet/>
      <dgm:spPr/>
      <dgm:t>
        <a:bodyPr/>
        <a:lstStyle/>
        <a:p>
          <a:endParaRPr lang="en-GB"/>
        </a:p>
      </dgm:t>
    </dgm:pt>
    <dgm:pt modelId="{A058F344-A4D2-4EE2-827D-AB9A9D9D8B2C}">
      <dgm:prSet custT="1"/>
      <dgm:spPr/>
      <dgm:t>
        <a:bodyPr rIns="0"/>
        <a:lstStyle/>
        <a:p>
          <a:r>
            <a:rPr lang="en-GB" sz="1300" b="1">
              <a:solidFill>
                <a:schemeClr val="tx1"/>
              </a:solidFill>
              <a:latin typeface="Arial" pitchFamily="34" charset="0"/>
              <a:cs typeface="Arial" pitchFamily="34" charset="0"/>
            </a:rPr>
            <a:t>benchmark</a:t>
          </a:r>
        </a:p>
      </dgm:t>
    </dgm:pt>
    <dgm:pt modelId="{B8F34EE5-9E7D-4F61-BF78-233DEAAB2F8C}" type="parTrans" cxnId="{EA68B7ED-EB93-42F2-A8FA-E2702F56E879}">
      <dgm:prSet/>
      <dgm:spPr/>
      <dgm:t>
        <a:bodyPr/>
        <a:lstStyle/>
        <a:p>
          <a:endParaRPr lang="en-GB"/>
        </a:p>
      </dgm:t>
    </dgm:pt>
    <dgm:pt modelId="{B6A350D4-D9C8-4EBB-A48C-8A3DA1B46127}" type="sibTrans" cxnId="{EA68B7ED-EB93-42F2-A8FA-E2702F56E879}">
      <dgm:prSet/>
      <dgm:spPr/>
      <dgm:t>
        <a:bodyPr/>
        <a:lstStyle/>
        <a:p>
          <a:endParaRPr lang="en-GB"/>
        </a:p>
      </dgm:t>
    </dgm:pt>
    <dgm:pt modelId="{496FEFFF-F735-48A4-B2E2-1D4D09605D9D}">
      <dgm:prSet custT="1"/>
      <dgm:spPr/>
      <dgm:t>
        <a:bodyPr rIns="0"/>
        <a:lstStyle/>
        <a:p>
          <a:r>
            <a:rPr lang="en-GB" sz="1300" b="1">
              <a:solidFill>
                <a:schemeClr val="tx1"/>
              </a:solidFill>
              <a:latin typeface="Arial" pitchFamily="34" charset="0"/>
              <a:cs typeface="Arial" pitchFamily="34" charset="0"/>
            </a:rPr>
            <a:t>Fairness</a:t>
          </a:r>
        </a:p>
      </dgm:t>
    </dgm:pt>
    <dgm:pt modelId="{0F1CB73E-BF3F-4AAC-B1E1-809877B3CE74}" type="parTrans" cxnId="{89FDC8C3-BB4E-434B-9C4A-956E93627BAA}">
      <dgm:prSet/>
      <dgm:spPr/>
      <dgm:t>
        <a:bodyPr/>
        <a:lstStyle/>
        <a:p>
          <a:endParaRPr lang="en-GB"/>
        </a:p>
      </dgm:t>
    </dgm:pt>
    <dgm:pt modelId="{39DFFF83-ED0C-4DCF-8E0F-BB16C2A7DFB9}" type="sibTrans" cxnId="{89FDC8C3-BB4E-434B-9C4A-956E93627BAA}">
      <dgm:prSet/>
      <dgm:spPr/>
      <dgm:t>
        <a:bodyPr/>
        <a:lstStyle/>
        <a:p>
          <a:endParaRPr lang="en-GB"/>
        </a:p>
      </dgm:t>
    </dgm:pt>
    <dgm:pt modelId="{11773C62-706A-4E65-A439-3A57770AEE9F}">
      <dgm:prSet custT="1"/>
      <dgm:spPr/>
      <dgm:t>
        <a:bodyPr rIns="0"/>
        <a:lstStyle/>
        <a:p>
          <a:r>
            <a:rPr lang="en-GB" sz="1300" b="1">
              <a:solidFill>
                <a:schemeClr val="tx1"/>
              </a:solidFill>
              <a:latin typeface="Arial" pitchFamily="34" charset="0"/>
              <a:cs typeface="Arial" pitchFamily="34" charset="0"/>
            </a:rPr>
            <a:t>Level of services</a:t>
          </a:r>
        </a:p>
      </dgm:t>
    </dgm:pt>
    <dgm:pt modelId="{38182B1A-9FE5-4730-B1DF-DE3D7872F40A}" type="parTrans" cxnId="{5B0760E1-BA60-434F-B40F-9CA366194356}">
      <dgm:prSet/>
      <dgm:spPr/>
      <dgm:t>
        <a:bodyPr/>
        <a:lstStyle/>
        <a:p>
          <a:endParaRPr lang="en-GB"/>
        </a:p>
      </dgm:t>
    </dgm:pt>
    <dgm:pt modelId="{EF7CBBD1-E1D1-4D80-9033-23088E6CD367}" type="sibTrans" cxnId="{5B0760E1-BA60-434F-B40F-9CA366194356}">
      <dgm:prSet/>
      <dgm:spPr/>
      <dgm:t>
        <a:bodyPr/>
        <a:lstStyle/>
        <a:p>
          <a:endParaRPr lang="en-GB"/>
        </a:p>
      </dgm:t>
    </dgm:pt>
    <dgm:pt modelId="{E389FEA4-A269-48E4-B095-1FEDFF748474}">
      <dgm:prSet custT="1"/>
      <dgm:spPr/>
      <dgm:t>
        <a:bodyPr rIns="0"/>
        <a:lstStyle/>
        <a:p>
          <a:r>
            <a:rPr lang="en-GB" sz="1300" b="1">
              <a:solidFill>
                <a:schemeClr val="tx1"/>
              </a:solidFill>
              <a:latin typeface="Arial" pitchFamily="34" charset="0"/>
              <a:cs typeface="Arial" pitchFamily="34" charset="0"/>
            </a:rPr>
            <a:t>Apportionment basis</a:t>
          </a:r>
        </a:p>
      </dgm:t>
    </dgm:pt>
    <dgm:pt modelId="{7C40DD6C-E858-4C51-8456-3A7E553E9A6F}" type="parTrans" cxnId="{634C0686-3505-4E4A-836E-A853AA6E4A83}">
      <dgm:prSet/>
      <dgm:spPr/>
      <dgm:t>
        <a:bodyPr/>
        <a:lstStyle/>
        <a:p>
          <a:endParaRPr lang="en-GB"/>
        </a:p>
      </dgm:t>
    </dgm:pt>
    <dgm:pt modelId="{0CB29E43-11C5-4A17-87BC-A9ECA5CF484D}" type="sibTrans" cxnId="{634C0686-3505-4E4A-836E-A853AA6E4A83}">
      <dgm:prSet/>
      <dgm:spPr/>
      <dgm:t>
        <a:bodyPr/>
        <a:lstStyle/>
        <a:p>
          <a:endParaRPr lang="en-GB"/>
        </a:p>
      </dgm:t>
    </dgm:pt>
    <dgm:pt modelId="{A2A93510-17C8-4B8D-A212-3AA4A7672018}">
      <dgm:prSet phldrT="[Text]" custT="1"/>
      <dgm:spPr/>
      <dgm:t>
        <a:bodyPr rIns="0"/>
        <a:lstStyle/>
        <a:p>
          <a:r>
            <a:rPr lang="en-GB" sz="1300" b="1">
              <a:solidFill>
                <a:schemeClr val="tx1"/>
              </a:solidFill>
              <a:latin typeface="Arial" pitchFamily="34" charset="0"/>
              <a:cs typeface="Arial" pitchFamily="34" charset="0"/>
            </a:rPr>
            <a:t>Costs</a:t>
          </a:r>
        </a:p>
      </dgm:t>
    </dgm:pt>
    <dgm:pt modelId="{BF663C02-D3DF-4F15-93F4-C49B950BEA79}" type="parTrans" cxnId="{AF241976-824B-4004-9EFD-453BD15655CB}">
      <dgm:prSet/>
      <dgm:spPr/>
      <dgm:t>
        <a:bodyPr/>
        <a:lstStyle/>
        <a:p>
          <a:endParaRPr lang="en-GB"/>
        </a:p>
      </dgm:t>
    </dgm:pt>
    <dgm:pt modelId="{142E5422-1A21-4897-89A7-B9517D4B277A}" type="sibTrans" cxnId="{AF241976-824B-4004-9EFD-453BD15655CB}">
      <dgm:prSet/>
      <dgm:spPr/>
      <dgm:t>
        <a:bodyPr/>
        <a:lstStyle/>
        <a:p>
          <a:endParaRPr lang="en-GB"/>
        </a:p>
      </dgm:t>
    </dgm:pt>
    <dgm:pt modelId="{C6BB5CE7-0D35-43B7-96C6-6F968DAB4425}">
      <dgm:prSet custT="1"/>
      <dgm:spPr/>
      <dgm:t>
        <a:bodyPr rIns="0"/>
        <a:lstStyle/>
        <a:p>
          <a:r>
            <a:rPr lang="en-GB" sz="1300" b="1">
              <a:solidFill>
                <a:schemeClr val="tx1"/>
              </a:solidFill>
              <a:latin typeface="Arial" pitchFamily="34" charset="0"/>
              <a:cs typeface="Arial" pitchFamily="34" charset="0"/>
            </a:rPr>
            <a:t>Consultation</a:t>
          </a:r>
        </a:p>
      </dgm:t>
    </dgm:pt>
    <dgm:pt modelId="{F7FF6348-73C3-4C7D-8B39-EB484CF339F4}" type="parTrans" cxnId="{7E332488-A3C7-4D23-B6EF-8219D68A4873}">
      <dgm:prSet/>
      <dgm:spPr/>
      <dgm:t>
        <a:bodyPr/>
        <a:lstStyle/>
        <a:p>
          <a:endParaRPr lang="en-GB"/>
        </a:p>
      </dgm:t>
    </dgm:pt>
    <dgm:pt modelId="{A4706083-3F07-44A3-8CDC-1C51C052F542}" type="sibTrans" cxnId="{7E332488-A3C7-4D23-B6EF-8219D68A4873}">
      <dgm:prSet/>
      <dgm:spPr/>
      <dgm:t>
        <a:bodyPr/>
        <a:lstStyle/>
        <a:p>
          <a:endParaRPr lang="en-GB"/>
        </a:p>
      </dgm:t>
    </dgm:pt>
    <dgm:pt modelId="{B88C1F84-621D-4B32-A315-ADF2CB4DE578}">
      <dgm:prSet phldrT="[Text]" custT="1"/>
      <dgm:spPr/>
      <dgm:t>
        <a:bodyPr rIns="0"/>
        <a:lstStyle/>
        <a:p>
          <a:r>
            <a:rPr lang="en-GB" sz="1300" b="1">
              <a:solidFill>
                <a:schemeClr val="tx1"/>
              </a:solidFill>
              <a:latin typeface="Arial" pitchFamily="34" charset="0"/>
              <a:cs typeface="Arial" pitchFamily="34" charset="0"/>
            </a:rPr>
            <a:t>Clarity of information</a:t>
          </a:r>
        </a:p>
      </dgm:t>
    </dgm:pt>
    <dgm:pt modelId="{136DC778-9B87-4659-81C0-02838EE6B88A}" type="parTrans" cxnId="{A8F5C91C-F49A-4B36-8C59-CA2CD7FEC80F}">
      <dgm:prSet/>
      <dgm:spPr/>
      <dgm:t>
        <a:bodyPr/>
        <a:lstStyle/>
        <a:p>
          <a:endParaRPr lang="en-GB"/>
        </a:p>
      </dgm:t>
    </dgm:pt>
    <dgm:pt modelId="{07C0A8B2-D624-44AB-A949-4671BF8F0FB6}" type="sibTrans" cxnId="{A8F5C91C-F49A-4B36-8C59-CA2CD7FEC80F}">
      <dgm:prSet/>
      <dgm:spPr/>
      <dgm:t>
        <a:bodyPr/>
        <a:lstStyle/>
        <a:p>
          <a:endParaRPr lang="en-GB"/>
        </a:p>
      </dgm:t>
    </dgm:pt>
    <dgm:pt modelId="{29EF7F2D-B04E-49B3-81EF-089FF017DF88}" type="pres">
      <dgm:prSet presAssocID="{B1E6CE7D-710A-45EC-A4CD-E0AD8B14E72A}" presName="compositeShape" presStyleCnt="0">
        <dgm:presLayoutVars>
          <dgm:chMax val="7"/>
          <dgm:dir/>
          <dgm:resizeHandles val="exact"/>
        </dgm:presLayoutVars>
      </dgm:prSet>
      <dgm:spPr/>
    </dgm:pt>
    <dgm:pt modelId="{F4BF0817-B937-4C28-8394-D11FF4DE870F}" type="pres">
      <dgm:prSet presAssocID="{B1E6CE7D-710A-45EC-A4CD-E0AD8B14E72A}" presName="wedge1" presStyleLbl="node1" presStyleIdx="0" presStyleCnt="6" custScaleX="197865" custScaleY="120231"/>
      <dgm:spPr/>
      <dgm:t>
        <a:bodyPr/>
        <a:lstStyle/>
        <a:p>
          <a:endParaRPr lang="en-GB"/>
        </a:p>
      </dgm:t>
    </dgm:pt>
    <dgm:pt modelId="{DDA8781A-AB38-4BB5-8BB0-BDEA2BC662A9}" type="pres">
      <dgm:prSet presAssocID="{B1E6CE7D-710A-45EC-A4CD-E0AD8B14E72A}" presName="wedge1Tx" presStyleLbl="node1" presStyleIdx="0" presStyleCnt="6">
        <dgm:presLayoutVars>
          <dgm:chMax val="0"/>
          <dgm:chPref val="0"/>
          <dgm:bulletEnabled val="1"/>
        </dgm:presLayoutVars>
      </dgm:prSet>
      <dgm:spPr/>
      <dgm:t>
        <a:bodyPr/>
        <a:lstStyle/>
        <a:p>
          <a:endParaRPr lang="en-GB"/>
        </a:p>
      </dgm:t>
    </dgm:pt>
    <dgm:pt modelId="{85B5C616-F236-4C2A-BC66-7619D4CE7274}" type="pres">
      <dgm:prSet presAssocID="{B1E6CE7D-710A-45EC-A4CD-E0AD8B14E72A}" presName="wedge2" presStyleLbl="node1" presStyleIdx="1" presStyleCnt="6" custScaleX="197865" custScaleY="120231"/>
      <dgm:spPr/>
      <dgm:t>
        <a:bodyPr/>
        <a:lstStyle/>
        <a:p>
          <a:endParaRPr lang="en-GB"/>
        </a:p>
      </dgm:t>
    </dgm:pt>
    <dgm:pt modelId="{81F9BA5F-5BD2-4DD2-B9C3-8769F943B297}" type="pres">
      <dgm:prSet presAssocID="{B1E6CE7D-710A-45EC-A4CD-E0AD8B14E72A}" presName="wedge2Tx" presStyleLbl="node1" presStyleIdx="1" presStyleCnt="6">
        <dgm:presLayoutVars>
          <dgm:chMax val="0"/>
          <dgm:chPref val="0"/>
          <dgm:bulletEnabled val="1"/>
        </dgm:presLayoutVars>
      </dgm:prSet>
      <dgm:spPr/>
      <dgm:t>
        <a:bodyPr/>
        <a:lstStyle/>
        <a:p>
          <a:endParaRPr lang="en-GB"/>
        </a:p>
      </dgm:t>
    </dgm:pt>
    <dgm:pt modelId="{71A243EC-7DCF-4399-B61D-3E8E72485EF5}" type="pres">
      <dgm:prSet presAssocID="{B1E6CE7D-710A-45EC-A4CD-E0AD8B14E72A}" presName="wedge3" presStyleLbl="node1" presStyleIdx="2" presStyleCnt="6" custScaleX="197865" custScaleY="120231"/>
      <dgm:spPr/>
      <dgm:t>
        <a:bodyPr/>
        <a:lstStyle/>
        <a:p>
          <a:endParaRPr lang="en-GB"/>
        </a:p>
      </dgm:t>
    </dgm:pt>
    <dgm:pt modelId="{57698FF3-7496-4462-95FA-A45D931F3049}" type="pres">
      <dgm:prSet presAssocID="{B1E6CE7D-710A-45EC-A4CD-E0AD8B14E72A}" presName="wedge3Tx" presStyleLbl="node1" presStyleIdx="2" presStyleCnt="6">
        <dgm:presLayoutVars>
          <dgm:chMax val="0"/>
          <dgm:chPref val="0"/>
          <dgm:bulletEnabled val="1"/>
        </dgm:presLayoutVars>
      </dgm:prSet>
      <dgm:spPr/>
      <dgm:t>
        <a:bodyPr/>
        <a:lstStyle/>
        <a:p>
          <a:endParaRPr lang="en-GB"/>
        </a:p>
      </dgm:t>
    </dgm:pt>
    <dgm:pt modelId="{D5FE33A5-7F2D-4C07-8D7A-FBEF023B0599}" type="pres">
      <dgm:prSet presAssocID="{B1E6CE7D-710A-45EC-A4CD-E0AD8B14E72A}" presName="wedge4" presStyleLbl="node1" presStyleIdx="3" presStyleCnt="6" custScaleX="197865" custScaleY="120231"/>
      <dgm:spPr/>
      <dgm:t>
        <a:bodyPr/>
        <a:lstStyle/>
        <a:p>
          <a:endParaRPr lang="en-GB"/>
        </a:p>
      </dgm:t>
    </dgm:pt>
    <dgm:pt modelId="{B3EC59DB-DE45-4508-84D6-B7E546C55BBE}" type="pres">
      <dgm:prSet presAssocID="{B1E6CE7D-710A-45EC-A4CD-E0AD8B14E72A}" presName="wedge4Tx" presStyleLbl="node1" presStyleIdx="3" presStyleCnt="6">
        <dgm:presLayoutVars>
          <dgm:chMax val="0"/>
          <dgm:chPref val="0"/>
          <dgm:bulletEnabled val="1"/>
        </dgm:presLayoutVars>
      </dgm:prSet>
      <dgm:spPr/>
      <dgm:t>
        <a:bodyPr/>
        <a:lstStyle/>
        <a:p>
          <a:endParaRPr lang="en-GB"/>
        </a:p>
      </dgm:t>
    </dgm:pt>
    <dgm:pt modelId="{A327476A-F862-435C-8698-BFFBBF5F5F9A}" type="pres">
      <dgm:prSet presAssocID="{B1E6CE7D-710A-45EC-A4CD-E0AD8B14E72A}" presName="wedge5" presStyleLbl="node1" presStyleIdx="4" presStyleCnt="6" custScaleX="197865" custScaleY="120231"/>
      <dgm:spPr/>
      <dgm:t>
        <a:bodyPr/>
        <a:lstStyle/>
        <a:p>
          <a:endParaRPr lang="en-GB"/>
        </a:p>
      </dgm:t>
    </dgm:pt>
    <dgm:pt modelId="{E752DED4-C674-471D-8110-A9F035F0662D}" type="pres">
      <dgm:prSet presAssocID="{B1E6CE7D-710A-45EC-A4CD-E0AD8B14E72A}" presName="wedge5Tx" presStyleLbl="node1" presStyleIdx="4" presStyleCnt="6">
        <dgm:presLayoutVars>
          <dgm:chMax val="0"/>
          <dgm:chPref val="0"/>
          <dgm:bulletEnabled val="1"/>
        </dgm:presLayoutVars>
      </dgm:prSet>
      <dgm:spPr/>
      <dgm:t>
        <a:bodyPr/>
        <a:lstStyle/>
        <a:p>
          <a:endParaRPr lang="en-GB"/>
        </a:p>
      </dgm:t>
    </dgm:pt>
    <dgm:pt modelId="{EBAF5B42-043E-4466-A30D-D72293D1263A}" type="pres">
      <dgm:prSet presAssocID="{B1E6CE7D-710A-45EC-A4CD-E0AD8B14E72A}" presName="wedge6" presStyleLbl="node1" presStyleIdx="5" presStyleCnt="6" custScaleX="197865" custScaleY="120231"/>
      <dgm:spPr/>
      <dgm:t>
        <a:bodyPr/>
        <a:lstStyle/>
        <a:p>
          <a:endParaRPr lang="en-GB"/>
        </a:p>
      </dgm:t>
    </dgm:pt>
    <dgm:pt modelId="{A8D65E38-AD1E-44DF-A342-99E46C950BA6}" type="pres">
      <dgm:prSet presAssocID="{B1E6CE7D-710A-45EC-A4CD-E0AD8B14E72A}" presName="wedge6Tx" presStyleLbl="node1" presStyleIdx="5" presStyleCnt="6">
        <dgm:presLayoutVars>
          <dgm:chMax val="0"/>
          <dgm:chPref val="0"/>
          <dgm:bulletEnabled val="1"/>
        </dgm:presLayoutVars>
      </dgm:prSet>
      <dgm:spPr/>
      <dgm:t>
        <a:bodyPr/>
        <a:lstStyle/>
        <a:p>
          <a:endParaRPr lang="en-GB"/>
        </a:p>
      </dgm:t>
    </dgm:pt>
  </dgm:ptLst>
  <dgm:cxnLst>
    <dgm:cxn modelId="{37069CAE-6F23-41EB-BEBD-500DA437ADB8}" type="presOf" srcId="{081FAE40-91EB-4881-9148-532424F5FDC1}" destId="{85B5C616-F236-4C2A-BC66-7619D4CE7274}" srcOrd="0" destOrd="2" presId="urn:microsoft.com/office/officeart/2005/8/layout/chart3"/>
    <dgm:cxn modelId="{A9F5AA36-DA05-4F6C-8E81-962977E97D46}" type="presOf" srcId="{A058F344-A4D2-4EE2-827D-AB9A9D9D8B2C}" destId="{81F9BA5F-5BD2-4DD2-B9C3-8769F943B297}" srcOrd="1" destOrd="3" presId="urn:microsoft.com/office/officeart/2005/8/layout/chart3"/>
    <dgm:cxn modelId="{CE704F5B-1DA4-4055-83E8-9346021CE908}" type="presOf" srcId="{A2A93510-17C8-4B8D-A212-3AA4A7672018}" destId="{85B5C616-F236-4C2A-BC66-7619D4CE7274}" srcOrd="0" destOrd="1" presId="urn:microsoft.com/office/officeart/2005/8/layout/chart3"/>
    <dgm:cxn modelId="{CBC3CA37-0BE0-48A7-BBBD-8287B198BEE5}" type="presOf" srcId="{B88C1F84-621D-4B32-A315-ADF2CB4DE578}" destId="{85B5C616-F236-4C2A-BC66-7619D4CE7274}" srcOrd="0" destOrd="0" presId="urn:microsoft.com/office/officeart/2005/8/layout/chart3"/>
    <dgm:cxn modelId="{FDFFB1B5-E410-49EA-AB58-8F5CEE9F0649}" type="presOf" srcId="{C6BB5CE7-0D35-43B7-96C6-6F968DAB4425}" destId="{EBAF5B42-043E-4466-A30D-D72293D1263A}" srcOrd="0" destOrd="0" presId="urn:microsoft.com/office/officeart/2005/8/layout/chart3"/>
    <dgm:cxn modelId="{8CDCD997-C772-4A0F-9A08-3EE1A4E19AA6}" type="presOf" srcId="{E389FEA4-A269-48E4-B095-1FEDFF748474}" destId="{E752DED4-C674-471D-8110-A9F035F0662D}" srcOrd="1" destOrd="0" presId="urn:microsoft.com/office/officeart/2005/8/layout/chart3"/>
    <dgm:cxn modelId="{4F6C1C9A-A668-44F5-9A04-7776C7DC2509}" srcId="{B1E6CE7D-710A-45EC-A4CD-E0AD8B14E72A}" destId="{209DC6DF-FC78-45C7-9088-2CB1B8C12C46}" srcOrd="0" destOrd="0" parTransId="{9416464A-2E10-43DC-9988-9FA10BCE6005}" sibTransId="{E00EAF69-640B-468C-AA77-D1EE8E75A9E5}"/>
    <dgm:cxn modelId="{0F7A1FD8-D627-441F-BC6E-DB25C763054C}" type="presOf" srcId="{B1E6CE7D-710A-45EC-A4CD-E0AD8B14E72A}" destId="{29EF7F2D-B04E-49B3-81EF-089FF017DF88}" srcOrd="0" destOrd="0" presId="urn:microsoft.com/office/officeart/2005/8/layout/chart3"/>
    <dgm:cxn modelId="{405D6A81-F72E-49BD-910E-E86451731CAC}" type="presOf" srcId="{496FEFFF-F735-48A4-B2E2-1D4D09605D9D}" destId="{57698FF3-7496-4462-95FA-A45D931F3049}" srcOrd="1" destOrd="0" presId="urn:microsoft.com/office/officeart/2005/8/layout/chart3"/>
    <dgm:cxn modelId="{D15DA2B0-19DC-4B36-A86E-615D8F84DB2F}" srcId="{B88C1F84-621D-4B32-A315-ADF2CB4DE578}" destId="{081FAE40-91EB-4881-9148-532424F5FDC1}" srcOrd="1" destOrd="0" parTransId="{9A4FCF4A-CB03-4F6E-9AAD-683F61A4ED65}" sibTransId="{E51E1E7C-569B-4518-BE2E-B9782527D38C}"/>
    <dgm:cxn modelId="{CD2553D2-F1C6-4F25-9032-C9EC4F50D1B9}" type="presOf" srcId="{A058F344-A4D2-4EE2-827D-AB9A9D9D8B2C}" destId="{85B5C616-F236-4C2A-BC66-7619D4CE7274}" srcOrd="0" destOrd="3" presId="urn:microsoft.com/office/officeart/2005/8/layout/chart3"/>
    <dgm:cxn modelId="{AF241976-824B-4004-9EFD-453BD15655CB}" srcId="{B88C1F84-621D-4B32-A315-ADF2CB4DE578}" destId="{A2A93510-17C8-4B8D-A212-3AA4A7672018}" srcOrd="0" destOrd="0" parTransId="{BF663C02-D3DF-4F15-93F4-C49B950BEA79}" sibTransId="{142E5422-1A21-4897-89A7-B9517D4B277A}"/>
    <dgm:cxn modelId="{63C5915D-8981-4C67-B6FB-8A5312149B89}" type="presOf" srcId="{11773C62-706A-4E65-A439-3A57770AEE9F}" destId="{B3EC59DB-DE45-4508-84D6-B7E546C55BBE}" srcOrd="1" destOrd="0" presId="urn:microsoft.com/office/officeart/2005/8/layout/chart3"/>
    <dgm:cxn modelId="{89FDC8C3-BB4E-434B-9C4A-956E93627BAA}" srcId="{B1E6CE7D-710A-45EC-A4CD-E0AD8B14E72A}" destId="{496FEFFF-F735-48A4-B2E2-1D4D09605D9D}" srcOrd="2" destOrd="0" parTransId="{0F1CB73E-BF3F-4AAC-B1E1-809877B3CE74}" sibTransId="{39DFFF83-ED0C-4DCF-8E0F-BB16C2A7DFB9}"/>
    <dgm:cxn modelId="{2F90174D-4937-4AF6-AD3F-4808DEF9D830}" type="presOf" srcId="{C6BB5CE7-0D35-43B7-96C6-6F968DAB4425}" destId="{A8D65E38-AD1E-44DF-A342-99E46C950BA6}" srcOrd="1" destOrd="0" presId="urn:microsoft.com/office/officeart/2005/8/layout/chart3"/>
    <dgm:cxn modelId="{CF5B184B-0207-419B-8421-FFC95369FE85}" type="presOf" srcId="{E389FEA4-A269-48E4-B095-1FEDFF748474}" destId="{A327476A-F862-435C-8698-BFFBBF5F5F9A}" srcOrd="0" destOrd="0" presId="urn:microsoft.com/office/officeart/2005/8/layout/chart3"/>
    <dgm:cxn modelId="{1F2AA028-85F3-46D5-8185-FBD6BBAD10BF}" type="presOf" srcId="{209DC6DF-FC78-45C7-9088-2CB1B8C12C46}" destId="{DDA8781A-AB38-4BB5-8BB0-BDEA2BC662A9}" srcOrd="1" destOrd="0" presId="urn:microsoft.com/office/officeart/2005/8/layout/chart3"/>
    <dgm:cxn modelId="{634C0686-3505-4E4A-836E-A853AA6E4A83}" srcId="{B1E6CE7D-710A-45EC-A4CD-E0AD8B14E72A}" destId="{E389FEA4-A269-48E4-B095-1FEDFF748474}" srcOrd="4" destOrd="0" parTransId="{7C40DD6C-E858-4C51-8456-3A7E553E9A6F}" sibTransId="{0CB29E43-11C5-4A17-87BC-A9ECA5CF484D}"/>
    <dgm:cxn modelId="{444807C8-014D-4B28-813C-D31CB7A6EBF4}" type="presOf" srcId="{081FAE40-91EB-4881-9148-532424F5FDC1}" destId="{81F9BA5F-5BD2-4DD2-B9C3-8769F943B297}" srcOrd="1" destOrd="2" presId="urn:microsoft.com/office/officeart/2005/8/layout/chart3"/>
    <dgm:cxn modelId="{EA68B7ED-EB93-42F2-A8FA-E2702F56E879}" srcId="{B88C1F84-621D-4B32-A315-ADF2CB4DE578}" destId="{A058F344-A4D2-4EE2-827D-AB9A9D9D8B2C}" srcOrd="2" destOrd="0" parTransId="{B8F34EE5-9E7D-4F61-BF78-233DEAAB2F8C}" sibTransId="{B6A350D4-D9C8-4EBB-A48C-8A3DA1B46127}"/>
    <dgm:cxn modelId="{A8F5C91C-F49A-4B36-8C59-CA2CD7FEC80F}" srcId="{B1E6CE7D-710A-45EC-A4CD-E0AD8B14E72A}" destId="{B88C1F84-621D-4B32-A315-ADF2CB4DE578}" srcOrd="1" destOrd="0" parTransId="{136DC778-9B87-4659-81C0-02838EE6B88A}" sibTransId="{07C0A8B2-D624-44AB-A949-4671BF8F0FB6}"/>
    <dgm:cxn modelId="{7E332488-A3C7-4D23-B6EF-8219D68A4873}" srcId="{B1E6CE7D-710A-45EC-A4CD-E0AD8B14E72A}" destId="{C6BB5CE7-0D35-43B7-96C6-6F968DAB4425}" srcOrd="5" destOrd="0" parTransId="{F7FF6348-73C3-4C7D-8B39-EB484CF339F4}" sibTransId="{A4706083-3F07-44A3-8CDC-1C51C052F542}"/>
    <dgm:cxn modelId="{06EA9F35-BDE4-473A-A131-CD0EBDEEE4BD}" type="presOf" srcId="{A2A93510-17C8-4B8D-A212-3AA4A7672018}" destId="{81F9BA5F-5BD2-4DD2-B9C3-8769F943B297}" srcOrd="1" destOrd="1" presId="urn:microsoft.com/office/officeart/2005/8/layout/chart3"/>
    <dgm:cxn modelId="{924BEDCF-094E-46BB-BAB2-B99B16ABE946}" type="presOf" srcId="{209DC6DF-FC78-45C7-9088-2CB1B8C12C46}" destId="{F4BF0817-B937-4C28-8394-D11FF4DE870F}" srcOrd="0" destOrd="0" presId="urn:microsoft.com/office/officeart/2005/8/layout/chart3"/>
    <dgm:cxn modelId="{AE7C9F12-1114-40D3-B4FD-F047F747D22D}" type="presOf" srcId="{11773C62-706A-4E65-A439-3A57770AEE9F}" destId="{D5FE33A5-7F2D-4C07-8D7A-FBEF023B0599}" srcOrd="0" destOrd="0" presId="urn:microsoft.com/office/officeart/2005/8/layout/chart3"/>
    <dgm:cxn modelId="{5B0760E1-BA60-434F-B40F-9CA366194356}" srcId="{B1E6CE7D-710A-45EC-A4CD-E0AD8B14E72A}" destId="{11773C62-706A-4E65-A439-3A57770AEE9F}" srcOrd="3" destOrd="0" parTransId="{38182B1A-9FE5-4730-B1DF-DE3D7872F40A}" sibTransId="{EF7CBBD1-E1D1-4D80-9033-23088E6CD367}"/>
    <dgm:cxn modelId="{F077FED7-A069-4441-BE66-44C7DED5EC0A}" type="presOf" srcId="{B88C1F84-621D-4B32-A315-ADF2CB4DE578}" destId="{81F9BA5F-5BD2-4DD2-B9C3-8769F943B297}" srcOrd="1" destOrd="0" presId="urn:microsoft.com/office/officeart/2005/8/layout/chart3"/>
    <dgm:cxn modelId="{94573E84-9E52-4ADE-B46D-80BAE8245755}" type="presOf" srcId="{496FEFFF-F735-48A4-B2E2-1D4D09605D9D}" destId="{71A243EC-7DCF-4399-B61D-3E8E72485EF5}" srcOrd="0" destOrd="0" presId="urn:microsoft.com/office/officeart/2005/8/layout/chart3"/>
    <dgm:cxn modelId="{50E9106A-AFE7-4B6F-8019-154070FDBF0E}" type="presParOf" srcId="{29EF7F2D-B04E-49B3-81EF-089FF017DF88}" destId="{F4BF0817-B937-4C28-8394-D11FF4DE870F}" srcOrd="0" destOrd="0" presId="urn:microsoft.com/office/officeart/2005/8/layout/chart3"/>
    <dgm:cxn modelId="{028D3BE2-EFF4-4F3E-B62B-FB2281486D01}" type="presParOf" srcId="{29EF7F2D-B04E-49B3-81EF-089FF017DF88}" destId="{DDA8781A-AB38-4BB5-8BB0-BDEA2BC662A9}" srcOrd="1" destOrd="0" presId="urn:microsoft.com/office/officeart/2005/8/layout/chart3"/>
    <dgm:cxn modelId="{B120E856-1B52-49A1-B550-D8CD69AE63E0}" type="presParOf" srcId="{29EF7F2D-B04E-49B3-81EF-089FF017DF88}" destId="{85B5C616-F236-4C2A-BC66-7619D4CE7274}" srcOrd="2" destOrd="0" presId="urn:microsoft.com/office/officeart/2005/8/layout/chart3"/>
    <dgm:cxn modelId="{B418FB6D-C4E8-4264-8DDF-CFDD4275E389}" type="presParOf" srcId="{29EF7F2D-B04E-49B3-81EF-089FF017DF88}" destId="{81F9BA5F-5BD2-4DD2-B9C3-8769F943B297}" srcOrd="3" destOrd="0" presId="urn:microsoft.com/office/officeart/2005/8/layout/chart3"/>
    <dgm:cxn modelId="{CA0807D4-7976-4808-A83D-EED9F03FD4FB}" type="presParOf" srcId="{29EF7F2D-B04E-49B3-81EF-089FF017DF88}" destId="{71A243EC-7DCF-4399-B61D-3E8E72485EF5}" srcOrd="4" destOrd="0" presId="urn:microsoft.com/office/officeart/2005/8/layout/chart3"/>
    <dgm:cxn modelId="{DBBB55B4-F311-4338-A14C-385B98D4120A}" type="presParOf" srcId="{29EF7F2D-B04E-49B3-81EF-089FF017DF88}" destId="{57698FF3-7496-4462-95FA-A45D931F3049}" srcOrd="5" destOrd="0" presId="urn:microsoft.com/office/officeart/2005/8/layout/chart3"/>
    <dgm:cxn modelId="{88F4EB80-5BF6-40B8-9E67-B4ABADB744A2}" type="presParOf" srcId="{29EF7F2D-B04E-49B3-81EF-089FF017DF88}" destId="{D5FE33A5-7F2D-4C07-8D7A-FBEF023B0599}" srcOrd="6" destOrd="0" presId="urn:microsoft.com/office/officeart/2005/8/layout/chart3"/>
    <dgm:cxn modelId="{14317666-5DD3-4C99-9323-6EA4712649BD}" type="presParOf" srcId="{29EF7F2D-B04E-49B3-81EF-089FF017DF88}" destId="{B3EC59DB-DE45-4508-84D6-B7E546C55BBE}" srcOrd="7" destOrd="0" presId="urn:microsoft.com/office/officeart/2005/8/layout/chart3"/>
    <dgm:cxn modelId="{47765E1F-E7C3-4C34-BE2B-75CACB55EAD6}" type="presParOf" srcId="{29EF7F2D-B04E-49B3-81EF-089FF017DF88}" destId="{A327476A-F862-435C-8698-BFFBBF5F5F9A}" srcOrd="8" destOrd="0" presId="urn:microsoft.com/office/officeart/2005/8/layout/chart3"/>
    <dgm:cxn modelId="{2E6F21D6-277E-47C5-BB05-0E8B6E3CE032}" type="presParOf" srcId="{29EF7F2D-B04E-49B3-81EF-089FF017DF88}" destId="{E752DED4-C674-471D-8110-A9F035F0662D}" srcOrd="9" destOrd="0" presId="urn:microsoft.com/office/officeart/2005/8/layout/chart3"/>
    <dgm:cxn modelId="{3FBC635C-F920-498D-9D8C-94F9C2897A5D}" type="presParOf" srcId="{29EF7F2D-B04E-49B3-81EF-089FF017DF88}" destId="{EBAF5B42-043E-4466-A30D-D72293D1263A}" srcOrd="10" destOrd="0" presId="urn:microsoft.com/office/officeart/2005/8/layout/chart3"/>
    <dgm:cxn modelId="{5DB08345-7946-448E-8553-96258BB8F216}" type="presParOf" srcId="{29EF7F2D-B04E-49B3-81EF-089FF017DF88}" destId="{A8D65E38-AD1E-44DF-A342-99E46C950BA6}" srcOrd="11" destOrd="0" presId="urn:microsoft.com/office/officeart/2005/8/layout/chart3"/>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070F9F-49E3-4371-8EBC-35BEB9A71197}">
      <dsp:nvSpPr>
        <dsp:cNvPr id="0" name=""/>
        <dsp:cNvSpPr/>
      </dsp:nvSpPr>
      <dsp:spPr>
        <a:xfrm rot="5400000">
          <a:off x="4270496" y="-1803351"/>
          <a:ext cx="778978" cy="4385868"/>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Beware: an agreement can narrow your legal power</a:t>
          </a:r>
        </a:p>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Identify each type of agreement </a:t>
          </a:r>
        </a:p>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Are there any restrictions?</a:t>
          </a:r>
        </a:p>
      </dsp:txBody>
      <dsp:txXfrm rot="-5400000">
        <a:off x="2467052" y="38120"/>
        <a:ext cx="4347841" cy="702924"/>
      </dsp:txXfrm>
    </dsp:sp>
    <dsp:sp modelId="{F333D2A9-A063-4E0D-A4B3-39FB90B97CDD}">
      <dsp:nvSpPr>
        <dsp:cNvPr id="0" name=""/>
        <dsp:cNvSpPr/>
      </dsp:nvSpPr>
      <dsp:spPr>
        <a:xfrm>
          <a:off x="0" y="105805"/>
          <a:ext cx="2467051" cy="56755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kern="1200">
              <a:latin typeface="Arial" pitchFamily="34" charset="0"/>
              <a:cs typeface="Arial" pitchFamily="34" charset="0"/>
            </a:rPr>
            <a:t>Tenancies or leaseholds	</a:t>
          </a:r>
        </a:p>
      </dsp:txBody>
      <dsp:txXfrm>
        <a:off x="27706" y="133511"/>
        <a:ext cx="2411639" cy="512143"/>
      </dsp:txXfrm>
    </dsp:sp>
    <dsp:sp modelId="{7E6475B1-1839-4629-9B3F-828410D83B22}">
      <dsp:nvSpPr>
        <dsp:cNvPr id="0" name=""/>
        <dsp:cNvSpPr/>
      </dsp:nvSpPr>
      <dsp:spPr>
        <a:xfrm rot="5400000">
          <a:off x="4065375" y="-729020"/>
          <a:ext cx="1189220" cy="4385868"/>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08000" rIns="36000" bIns="10800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Legislation only covers variable charges and fixed charges are outside of legislation </a:t>
          </a:r>
        </a:p>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Fixed charges contractual if in the tenancy/  leasehold agreement</a:t>
          </a:r>
        </a:p>
        <a:p>
          <a:pPr marL="114300" lvl="1" indent="-114300" algn="l" defTabSz="533400">
            <a:lnSpc>
              <a:spcPct val="90000"/>
            </a:lnSpc>
            <a:spcBef>
              <a:spcPct val="0"/>
            </a:spcBef>
            <a:spcAft>
              <a:spcPct val="15000"/>
            </a:spcAft>
            <a:buChar char="••"/>
          </a:pPr>
          <a:r>
            <a:rPr lang="en-GB" sz="1200" b="1" kern="1200">
              <a:latin typeface="Arial" pitchFamily="34" charset="0"/>
              <a:cs typeface="Arial" pitchFamily="34" charset="0"/>
            </a:rPr>
            <a:t>But</a:t>
          </a:r>
          <a:r>
            <a:rPr lang="en-GB" sz="1200" kern="1200">
              <a:latin typeface="Arial" pitchFamily="34" charset="0"/>
              <a:cs typeface="Arial" pitchFamily="34" charset="0"/>
            </a:rPr>
            <a:t> value for money and fairness apply to both types of charges</a:t>
          </a:r>
        </a:p>
      </dsp:txBody>
      <dsp:txXfrm rot="-5400000">
        <a:off x="2467052" y="927356"/>
        <a:ext cx="4327815" cy="1073114"/>
      </dsp:txXfrm>
    </dsp:sp>
    <dsp:sp modelId="{5A9000E7-E3FF-49E4-AA1B-4C9C980FF81B}">
      <dsp:nvSpPr>
        <dsp:cNvPr id="0" name=""/>
        <dsp:cNvSpPr/>
      </dsp:nvSpPr>
      <dsp:spPr>
        <a:xfrm>
          <a:off x="0" y="1032824"/>
          <a:ext cx="2467051" cy="862178"/>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kern="1200">
              <a:latin typeface="Arial" pitchFamily="34" charset="0"/>
              <a:cs typeface="Arial" pitchFamily="34" charset="0"/>
            </a:rPr>
            <a:t>Are your </a:t>
          </a:r>
          <a:r>
            <a:rPr lang="en-GB" sz="1400" b="1" kern="1200">
              <a:latin typeface="Arial" pitchFamily="34" charset="0"/>
              <a:cs typeface="Arial" pitchFamily="34" charset="0"/>
            </a:rPr>
            <a:t>charges</a:t>
          </a:r>
          <a:r>
            <a:rPr lang="en-GB" sz="1400" kern="1200">
              <a:latin typeface="Arial" pitchFamily="34" charset="0"/>
              <a:cs typeface="Arial" pitchFamily="34" charset="0"/>
            </a:rPr>
            <a:t> fixed or variable?</a:t>
          </a:r>
        </a:p>
      </dsp:txBody>
      <dsp:txXfrm>
        <a:off x="42088" y="1074912"/>
        <a:ext cx="2382875" cy="778002"/>
      </dsp:txXfrm>
    </dsp:sp>
    <dsp:sp modelId="{3D8EC52D-BDCB-400F-A646-C309F0FC6C89}">
      <dsp:nvSpPr>
        <dsp:cNvPr id="0" name=""/>
        <dsp:cNvSpPr/>
      </dsp:nvSpPr>
      <dsp:spPr>
        <a:xfrm rot="5400000">
          <a:off x="4257235" y="358570"/>
          <a:ext cx="805499" cy="4385868"/>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Any constraints or</a:t>
          </a:r>
        </a:p>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timeframe (eg 5 year promises) – </a:t>
          </a:r>
          <a:r>
            <a:rPr lang="en-GB" sz="1200" b="1" i="1" kern="1200">
              <a:latin typeface="Arial" pitchFamily="34" charset="0"/>
              <a:cs typeface="Arial" pitchFamily="34" charset="0"/>
            </a:rPr>
            <a:t>beware                               some are ad infinitum</a:t>
          </a:r>
        </a:p>
      </dsp:txBody>
      <dsp:txXfrm rot="-5400000">
        <a:off x="2467051" y="2188076"/>
        <a:ext cx="4346547" cy="726857"/>
      </dsp:txXfrm>
    </dsp:sp>
    <dsp:sp modelId="{07350228-0B54-4EFA-801D-C12E0BC309F3}">
      <dsp:nvSpPr>
        <dsp:cNvPr id="0" name=""/>
        <dsp:cNvSpPr/>
      </dsp:nvSpPr>
      <dsp:spPr>
        <a:xfrm>
          <a:off x="0" y="2204890"/>
          <a:ext cx="2467051" cy="69322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b="0" kern="1200">
              <a:latin typeface="Arial" pitchFamily="34" charset="0"/>
              <a:cs typeface="Arial" pitchFamily="34" charset="0"/>
            </a:rPr>
            <a:t>Are you a </a:t>
          </a:r>
          <a:r>
            <a:rPr lang="en-GB" sz="1400" b="1" kern="1200">
              <a:latin typeface="Arial" pitchFamily="34" charset="0"/>
              <a:cs typeface="Arial" pitchFamily="34" charset="0"/>
            </a:rPr>
            <a:t>stock</a:t>
          </a:r>
          <a:r>
            <a:rPr lang="en-GB" sz="1400" b="0" kern="1200">
              <a:latin typeface="Arial" pitchFamily="34" charset="0"/>
              <a:cs typeface="Arial" pitchFamily="34" charset="0"/>
            </a:rPr>
            <a:t> transfer organisation (LSVT)?	</a:t>
          </a:r>
        </a:p>
      </dsp:txBody>
      <dsp:txXfrm>
        <a:off x="33841" y="2238731"/>
        <a:ext cx="2399369" cy="625547"/>
      </dsp:txXfrm>
    </dsp:sp>
    <dsp:sp modelId="{3153AB8E-2BC5-4476-AF27-A11098596995}">
      <dsp:nvSpPr>
        <dsp:cNvPr id="0" name=""/>
        <dsp:cNvSpPr/>
      </dsp:nvSpPr>
      <dsp:spPr>
        <a:xfrm rot="5400000">
          <a:off x="3692239" y="1816888"/>
          <a:ext cx="1926389" cy="4381585"/>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36000" bIns="123825"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England - rent setting on rent restructuring so any service charges are recovered separately or subsidised, either deliberately or by default</a:t>
          </a:r>
          <a:endParaRPr lang="en-GB" sz="1200" b="1" i="1" kern="1200">
            <a:latin typeface="Arial" pitchFamily="34" charset="0"/>
            <a:cs typeface="Arial" pitchFamily="34" charset="0"/>
          </a:endParaRPr>
        </a:p>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Wales - government directive is for organisations to “de-pool” (disaggregate) which means that service charges should be identified separately from rents.</a:t>
          </a:r>
        </a:p>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Scotland - accounting directive state service charges have to be identified separately from rents. </a:t>
          </a:r>
        </a:p>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Northern Ireland Housing Executive - service charges should be set out in the tenancy/ leasehold agreement</a:t>
          </a:r>
        </a:p>
      </dsp:txBody>
      <dsp:txXfrm rot="-5400000">
        <a:off x="2464642" y="3138525"/>
        <a:ext cx="4287546" cy="1738311"/>
      </dsp:txXfrm>
    </dsp:sp>
    <dsp:sp modelId="{99DCA1F6-7AD8-41A8-B3F7-C60DA65153A4}">
      <dsp:nvSpPr>
        <dsp:cNvPr id="0" name=""/>
        <dsp:cNvSpPr/>
      </dsp:nvSpPr>
      <dsp:spPr>
        <a:xfrm>
          <a:off x="0" y="3193830"/>
          <a:ext cx="2464641" cy="1627702"/>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kern="1200">
              <a:latin typeface="Arial" pitchFamily="34" charset="0"/>
              <a:cs typeface="Arial" pitchFamily="34" charset="0"/>
            </a:rPr>
            <a:t>Location and rent </a:t>
          </a:r>
          <a:r>
            <a:rPr lang="en-GB" sz="1400" b="1" kern="1200">
              <a:latin typeface="Arial" pitchFamily="34" charset="0"/>
              <a:cs typeface="Arial" pitchFamily="34" charset="0"/>
            </a:rPr>
            <a:t>structure-</a:t>
          </a:r>
          <a:r>
            <a:rPr lang="en-GB" sz="1400" kern="1200">
              <a:latin typeface="Arial" pitchFamily="34" charset="0"/>
              <a:cs typeface="Arial" pitchFamily="34" charset="0"/>
            </a:rPr>
            <a:t> which country?</a:t>
          </a:r>
          <a:endParaRPr lang="en-GB" sz="1400" b="1" i="1" kern="1200">
            <a:latin typeface="Arial" pitchFamily="34" charset="0"/>
            <a:cs typeface="Arial" pitchFamily="34" charset="0"/>
          </a:endParaRPr>
        </a:p>
      </dsp:txBody>
      <dsp:txXfrm>
        <a:off x="79458" y="3273288"/>
        <a:ext cx="2305725" cy="1468786"/>
      </dsp:txXfrm>
    </dsp:sp>
    <dsp:sp modelId="{26567A46-3649-4DD1-94CB-23BBB1761CCB}">
      <dsp:nvSpPr>
        <dsp:cNvPr id="0" name=""/>
        <dsp:cNvSpPr/>
      </dsp:nvSpPr>
      <dsp:spPr>
        <a:xfrm rot="5400000">
          <a:off x="4307686" y="3220472"/>
          <a:ext cx="704598" cy="4385868"/>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Normally set at 80% of market rent – the ceiling usually includes service charges</a:t>
          </a:r>
        </a:p>
      </dsp:txBody>
      <dsp:txXfrm rot="-5400000">
        <a:off x="2467051" y="5095503"/>
        <a:ext cx="4351472" cy="635806"/>
      </dsp:txXfrm>
    </dsp:sp>
    <dsp:sp modelId="{3BCDC8E7-3AAC-43CB-894B-30F3800C84A3}">
      <dsp:nvSpPr>
        <dsp:cNvPr id="0" name=""/>
        <dsp:cNvSpPr/>
      </dsp:nvSpPr>
      <dsp:spPr>
        <a:xfrm>
          <a:off x="0" y="5094312"/>
          <a:ext cx="2467051" cy="638188"/>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kern="1200">
              <a:latin typeface="Arial" pitchFamily="34" charset="0"/>
              <a:cs typeface="Arial" pitchFamily="34" charset="0"/>
            </a:rPr>
            <a:t>Affordable rents - England  Intermediate rents - Wales</a:t>
          </a:r>
        </a:p>
      </dsp:txBody>
      <dsp:txXfrm>
        <a:off x="31154" y="5125466"/>
        <a:ext cx="2404743" cy="5758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6475B1-1839-4629-9B3F-828410D83B22}">
      <dsp:nvSpPr>
        <dsp:cNvPr id="0" name=""/>
        <dsp:cNvSpPr/>
      </dsp:nvSpPr>
      <dsp:spPr>
        <a:xfrm rot="5400000">
          <a:off x="4369117" y="-1880751"/>
          <a:ext cx="661187" cy="4423257"/>
        </a:xfrm>
        <a:prstGeom prst="round2SameRect">
          <a:avLst/>
        </a:prstGeom>
        <a:solidFill>
          <a:schemeClr val="accent4">
            <a:alpha val="90000"/>
            <a:tint val="40000"/>
            <a:hueOff val="0"/>
            <a:satOff val="0"/>
            <a:lumOff val="0"/>
            <a:alphaOff val="0"/>
          </a:schemeClr>
        </a:solidFill>
        <a:ln w="9525" cap="flat" cmpd="sng" algn="ctr">
          <a:solidFill>
            <a:schemeClr val="accent4">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currently eligible on the whole – some local authority differences</a:t>
          </a:r>
        </a:p>
      </dsp:txBody>
      <dsp:txXfrm rot="-5400000">
        <a:off x="2488082" y="32560"/>
        <a:ext cx="4390981" cy="596635"/>
      </dsp:txXfrm>
    </dsp:sp>
    <dsp:sp modelId="{5A9000E7-E3FF-49E4-AA1B-4C9C980FF81B}">
      <dsp:nvSpPr>
        <dsp:cNvPr id="0" name=""/>
        <dsp:cNvSpPr/>
      </dsp:nvSpPr>
      <dsp:spPr>
        <a:xfrm>
          <a:off x="0" y="76439"/>
          <a:ext cx="2488082" cy="508876"/>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b="1" kern="1200">
              <a:latin typeface="Arial" pitchFamily="34" charset="0"/>
              <a:cs typeface="Arial" pitchFamily="34" charset="0"/>
            </a:rPr>
            <a:t>Fixed charges</a:t>
          </a:r>
        </a:p>
      </dsp:txBody>
      <dsp:txXfrm>
        <a:off x="24841" y="101280"/>
        <a:ext cx="2438400" cy="459194"/>
      </dsp:txXfrm>
    </dsp:sp>
    <dsp:sp modelId="{0DBFB277-24F4-4765-8C10-6C118813401D}">
      <dsp:nvSpPr>
        <dsp:cNvPr id="0" name=""/>
        <dsp:cNvSpPr/>
      </dsp:nvSpPr>
      <dsp:spPr>
        <a:xfrm rot="5400000">
          <a:off x="4308230" y="-1109741"/>
          <a:ext cx="782961" cy="4423257"/>
        </a:xfrm>
        <a:prstGeom prst="round2SameRect">
          <a:avLst/>
        </a:prstGeom>
        <a:solidFill>
          <a:schemeClr val="accent4">
            <a:alpha val="90000"/>
            <a:tint val="40000"/>
            <a:hueOff val="0"/>
            <a:satOff val="0"/>
            <a:lumOff val="0"/>
            <a:alphaOff val="0"/>
          </a:schemeClr>
        </a:solidFill>
        <a:ln w="9525" cap="flat" cmpd="sng" algn="ctr">
          <a:solidFill>
            <a:schemeClr val="accent4">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traditionally split between eligible (mainly communal) and non eligible (charges to the individual) but local differences depending on definition</a:t>
          </a:r>
        </a:p>
      </dsp:txBody>
      <dsp:txXfrm rot="-5400000">
        <a:off x="2488083" y="748627"/>
        <a:ext cx="4385036" cy="706519"/>
      </dsp:txXfrm>
    </dsp:sp>
    <dsp:sp modelId="{311BA076-1155-40B1-A245-A1503A85DC1A}">
      <dsp:nvSpPr>
        <dsp:cNvPr id="0" name=""/>
        <dsp:cNvSpPr/>
      </dsp:nvSpPr>
      <dsp:spPr>
        <a:xfrm>
          <a:off x="0" y="814951"/>
          <a:ext cx="2488082" cy="573871"/>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b="1" kern="1200">
              <a:latin typeface="Arial" pitchFamily="34" charset="0"/>
              <a:cs typeface="Arial" pitchFamily="34" charset="0"/>
            </a:rPr>
            <a:t>Variable charges</a:t>
          </a:r>
        </a:p>
      </dsp:txBody>
      <dsp:txXfrm>
        <a:off x="28014" y="842965"/>
        <a:ext cx="2432054" cy="517843"/>
      </dsp:txXfrm>
    </dsp:sp>
    <dsp:sp modelId="{98D1BCDE-7B13-41B1-B820-76219A0D640E}">
      <dsp:nvSpPr>
        <dsp:cNvPr id="0" name=""/>
        <dsp:cNvSpPr/>
      </dsp:nvSpPr>
      <dsp:spPr>
        <a:xfrm rot="5400000">
          <a:off x="4179905" y="-151948"/>
          <a:ext cx="1030432" cy="4418938"/>
        </a:xfrm>
        <a:prstGeom prst="round2SameRect">
          <a:avLst/>
        </a:prstGeom>
        <a:solidFill>
          <a:schemeClr val="accent4">
            <a:alpha val="90000"/>
            <a:tint val="40000"/>
            <a:hueOff val="0"/>
            <a:satOff val="0"/>
            <a:lumOff val="0"/>
            <a:alphaOff val="0"/>
          </a:schemeClr>
        </a:solidFill>
        <a:ln w="9525" cap="flat" cmpd="sng" algn="ctr">
          <a:solidFill>
            <a:schemeClr val="accent4">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clearer guidance to be issued Spring 2013 from DWP</a:t>
          </a:r>
        </a:p>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outcome likely to exclude more eligible charges from previously grey areas; likely to force the splitting of fixed charges</a:t>
          </a:r>
        </a:p>
      </dsp:txBody>
      <dsp:txXfrm rot="-5400000">
        <a:off x="2485652" y="1592607"/>
        <a:ext cx="4368636" cy="929828"/>
      </dsp:txXfrm>
    </dsp:sp>
    <dsp:sp modelId="{C28F112F-C968-40EC-A2A9-6636867D67F3}">
      <dsp:nvSpPr>
        <dsp:cNvPr id="0" name=""/>
        <dsp:cNvSpPr/>
      </dsp:nvSpPr>
      <dsp:spPr>
        <a:xfrm>
          <a:off x="0" y="1673340"/>
          <a:ext cx="2485652" cy="768359"/>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b="1" kern="1200">
              <a:latin typeface="Arial" pitchFamily="34" charset="0"/>
              <a:cs typeface="Arial" pitchFamily="34" charset="0"/>
            </a:rPr>
            <a:t>Universal credit</a:t>
          </a:r>
        </a:p>
      </dsp:txBody>
      <dsp:txXfrm>
        <a:off x="37508" y="1710848"/>
        <a:ext cx="2410636" cy="69334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BF0817-B937-4C28-8394-D11FF4DE870F}">
      <dsp:nvSpPr>
        <dsp:cNvPr id="0" name=""/>
        <dsp:cNvSpPr/>
      </dsp:nvSpPr>
      <dsp:spPr>
        <a:xfrm>
          <a:off x="12560" y="-91500"/>
          <a:ext cx="5712944" cy="3471422"/>
        </a:xfrm>
        <a:prstGeom prst="pie">
          <a:avLst>
            <a:gd name="adj1" fmla="val 16200000"/>
            <a:gd name="adj2" fmla="val 19800000"/>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6510" tIns="16510" rIns="0" bIns="16510" numCol="1" spcCol="1270" anchor="ctr" anchorCtr="0">
          <a:noAutofit/>
        </a:bodyPr>
        <a:lstStyle/>
        <a:p>
          <a:pPr lvl="0" algn="ctr" defTabSz="577850">
            <a:lnSpc>
              <a:spcPct val="90000"/>
            </a:lnSpc>
            <a:spcBef>
              <a:spcPct val="0"/>
            </a:spcBef>
            <a:spcAft>
              <a:spcPct val="35000"/>
            </a:spcAft>
          </a:pPr>
          <a:r>
            <a:rPr lang="en-GB" sz="1300" b="1" kern="1200">
              <a:solidFill>
                <a:schemeClr val="tx1"/>
              </a:solidFill>
              <a:latin typeface="Arial" pitchFamily="34" charset="0"/>
              <a:cs typeface="Arial" pitchFamily="34" charset="0"/>
            </a:rPr>
            <a:t>Choices</a:t>
          </a:r>
        </a:p>
      </dsp:txBody>
      <dsp:txXfrm>
        <a:off x="2930243" y="280437"/>
        <a:ext cx="1666275" cy="743876"/>
      </dsp:txXfrm>
    </dsp:sp>
    <dsp:sp modelId="{85B5C616-F236-4C2A-BC66-7619D4CE7274}">
      <dsp:nvSpPr>
        <dsp:cNvPr id="0" name=""/>
        <dsp:cNvSpPr/>
      </dsp:nvSpPr>
      <dsp:spPr>
        <a:xfrm>
          <a:off x="-73370" y="57332"/>
          <a:ext cx="5712944" cy="3471422"/>
        </a:xfrm>
        <a:prstGeom prst="pie">
          <a:avLst>
            <a:gd name="adj1" fmla="val 19800000"/>
            <a:gd name="adj2" fmla="val 1800000"/>
          </a:avLst>
        </a:prstGeom>
        <a:solidFill>
          <a:schemeClr val="accent5">
            <a:hueOff val="-1986775"/>
            <a:satOff val="7962"/>
            <a:lumOff val="1726"/>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6510" tIns="16510" rIns="0" bIns="16510" numCol="1" spcCol="1270" anchor="t" anchorCtr="0">
          <a:noAutofit/>
        </a:bodyPr>
        <a:lstStyle/>
        <a:p>
          <a:pPr lvl="0" algn="l" defTabSz="577850">
            <a:lnSpc>
              <a:spcPct val="90000"/>
            </a:lnSpc>
            <a:spcBef>
              <a:spcPct val="0"/>
            </a:spcBef>
            <a:spcAft>
              <a:spcPct val="35000"/>
            </a:spcAft>
          </a:pPr>
          <a:r>
            <a:rPr lang="en-GB" sz="1300" b="1" kern="1200">
              <a:solidFill>
                <a:schemeClr val="tx1"/>
              </a:solidFill>
              <a:latin typeface="Arial" pitchFamily="34" charset="0"/>
              <a:cs typeface="Arial" pitchFamily="34" charset="0"/>
            </a:rPr>
            <a:t>Clarity of information</a:t>
          </a:r>
        </a:p>
        <a:p>
          <a:pPr marL="114300" lvl="1" indent="-114300" algn="l" defTabSz="577850">
            <a:lnSpc>
              <a:spcPct val="90000"/>
            </a:lnSpc>
            <a:spcBef>
              <a:spcPct val="0"/>
            </a:spcBef>
            <a:spcAft>
              <a:spcPct val="15000"/>
            </a:spcAft>
            <a:buChar char="••"/>
          </a:pPr>
          <a:r>
            <a:rPr lang="en-GB" sz="1300" b="1" kern="1200">
              <a:solidFill>
                <a:schemeClr val="tx1"/>
              </a:solidFill>
              <a:latin typeface="Arial" pitchFamily="34" charset="0"/>
              <a:cs typeface="Arial" pitchFamily="34" charset="0"/>
            </a:rPr>
            <a:t>Costs</a:t>
          </a:r>
        </a:p>
        <a:p>
          <a:pPr marL="114300" lvl="1" indent="-114300" algn="l" defTabSz="577850">
            <a:lnSpc>
              <a:spcPct val="90000"/>
            </a:lnSpc>
            <a:spcBef>
              <a:spcPct val="0"/>
            </a:spcBef>
            <a:spcAft>
              <a:spcPct val="15000"/>
            </a:spcAft>
            <a:buChar char="••"/>
          </a:pPr>
          <a:r>
            <a:rPr lang="en-GB" sz="1300" b="1" kern="1200">
              <a:solidFill>
                <a:schemeClr val="tx1"/>
              </a:solidFill>
              <a:latin typeface="Arial" pitchFamily="34" charset="0"/>
              <a:cs typeface="Arial" pitchFamily="34" charset="0"/>
            </a:rPr>
            <a:t>Quality standards</a:t>
          </a:r>
        </a:p>
        <a:p>
          <a:pPr marL="114300" lvl="1" indent="-114300" algn="l" defTabSz="577850">
            <a:lnSpc>
              <a:spcPct val="90000"/>
            </a:lnSpc>
            <a:spcBef>
              <a:spcPct val="0"/>
            </a:spcBef>
            <a:spcAft>
              <a:spcPct val="15000"/>
            </a:spcAft>
            <a:buChar char="••"/>
          </a:pPr>
          <a:r>
            <a:rPr lang="en-GB" sz="1300" b="1" kern="1200">
              <a:solidFill>
                <a:schemeClr val="tx1"/>
              </a:solidFill>
              <a:latin typeface="Arial" pitchFamily="34" charset="0"/>
              <a:cs typeface="Arial" pitchFamily="34" charset="0"/>
            </a:rPr>
            <a:t>benchmark</a:t>
          </a:r>
        </a:p>
      </dsp:txBody>
      <dsp:txXfrm>
        <a:off x="3837276" y="1441769"/>
        <a:ext cx="1727485" cy="702549"/>
      </dsp:txXfrm>
    </dsp:sp>
    <dsp:sp modelId="{71A243EC-7DCF-4399-B61D-3E8E72485EF5}">
      <dsp:nvSpPr>
        <dsp:cNvPr id="0" name=""/>
        <dsp:cNvSpPr/>
      </dsp:nvSpPr>
      <dsp:spPr>
        <a:xfrm>
          <a:off x="-73370" y="57332"/>
          <a:ext cx="5712944" cy="3471422"/>
        </a:xfrm>
        <a:prstGeom prst="pie">
          <a:avLst>
            <a:gd name="adj1" fmla="val 1800000"/>
            <a:gd name="adj2" fmla="val 5400000"/>
          </a:avLst>
        </a:prstGeom>
        <a:solidFill>
          <a:schemeClr val="accent5">
            <a:hueOff val="-3973551"/>
            <a:satOff val="15924"/>
            <a:lumOff val="3451"/>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6510" tIns="16510" rIns="0" bIns="16510" numCol="1" spcCol="1270" anchor="ctr" anchorCtr="0">
          <a:noAutofit/>
        </a:bodyPr>
        <a:lstStyle/>
        <a:p>
          <a:pPr lvl="0" algn="ctr" defTabSz="577850">
            <a:lnSpc>
              <a:spcPct val="90000"/>
            </a:lnSpc>
            <a:spcBef>
              <a:spcPct val="0"/>
            </a:spcBef>
            <a:spcAft>
              <a:spcPct val="35000"/>
            </a:spcAft>
          </a:pPr>
          <a:r>
            <a:rPr lang="en-GB" sz="1300" b="1" kern="1200">
              <a:solidFill>
                <a:schemeClr val="tx1"/>
              </a:solidFill>
              <a:latin typeface="Arial" pitchFamily="34" charset="0"/>
              <a:cs typeface="Arial" pitchFamily="34" charset="0"/>
            </a:rPr>
            <a:t>Fairness</a:t>
          </a:r>
        </a:p>
      </dsp:txBody>
      <dsp:txXfrm>
        <a:off x="2844311" y="2412940"/>
        <a:ext cx="1666275" cy="743876"/>
      </dsp:txXfrm>
    </dsp:sp>
    <dsp:sp modelId="{D5FE33A5-7F2D-4C07-8D7A-FBEF023B0599}">
      <dsp:nvSpPr>
        <dsp:cNvPr id="0" name=""/>
        <dsp:cNvSpPr/>
      </dsp:nvSpPr>
      <dsp:spPr>
        <a:xfrm>
          <a:off x="-73370" y="57332"/>
          <a:ext cx="5712944" cy="3471422"/>
        </a:xfrm>
        <a:prstGeom prst="pie">
          <a:avLst>
            <a:gd name="adj1" fmla="val 5400000"/>
            <a:gd name="adj2" fmla="val 9000000"/>
          </a:avLst>
        </a:prstGeom>
        <a:solidFill>
          <a:schemeClr val="accent5">
            <a:hueOff val="-5960326"/>
            <a:satOff val="23887"/>
            <a:lumOff val="5177"/>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6510" tIns="16510" rIns="0" bIns="16510" numCol="1" spcCol="1270" anchor="ctr" anchorCtr="0">
          <a:noAutofit/>
        </a:bodyPr>
        <a:lstStyle/>
        <a:p>
          <a:pPr lvl="0" algn="ctr" defTabSz="577850">
            <a:lnSpc>
              <a:spcPct val="90000"/>
            </a:lnSpc>
            <a:spcBef>
              <a:spcPct val="0"/>
            </a:spcBef>
            <a:spcAft>
              <a:spcPct val="35000"/>
            </a:spcAft>
          </a:pPr>
          <a:r>
            <a:rPr lang="en-GB" sz="1300" b="1" kern="1200">
              <a:solidFill>
                <a:schemeClr val="tx1"/>
              </a:solidFill>
              <a:latin typeface="Arial" pitchFamily="34" charset="0"/>
              <a:cs typeface="Arial" pitchFamily="34" charset="0"/>
            </a:rPr>
            <a:t>Level of services</a:t>
          </a:r>
        </a:p>
      </dsp:txBody>
      <dsp:txXfrm>
        <a:off x="1055616" y="2412940"/>
        <a:ext cx="1666275" cy="743876"/>
      </dsp:txXfrm>
    </dsp:sp>
    <dsp:sp modelId="{A327476A-F862-435C-8698-BFFBBF5F5F9A}">
      <dsp:nvSpPr>
        <dsp:cNvPr id="0" name=""/>
        <dsp:cNvSpPr/>
      </dsp:nvSpPr>
      <dsp:spPr>
        <a:xfrm>
          <a:off x="-73370" y="57332"/>
          <a:ext cx="5712944" cy="3471422"/>
        </a:xfrm>
        <a:prstGeom prst="pie">
          <a:avLst>
            <a:gd name="adj1" fmla="val 9000000"/>
            <a:gd name="adj2" fmla="val 12600000"/>
          </a:avLst>
        </a:prstGeom>
        <a:solidFill>
          <a:schemeClr val="accent5">
            <a:hueOff val="-7947101"/>
            <a:satOff val="31849"/>
            <a:lumOff val="6902"/>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6510" tIns="16510" rIns="0" bIns="16510" numCol="1" spcCol="1270" anchor="ctr" anchorCtr="0">
          <a:noAutofit/>
        </a:bodyPr>
        <a:lstStyle/>
        <a:p>
          <a:pPr lvl="0" algn="ctr" defTabSz="577850">
            <a:lnSpc>
              <a:spcPct val="90000"/>
            </a:lnSpc>
            <a:spcBef>
              <a:spcPct val="0"/>
            </a:spcBef>
            <a:spcAft>
              <a:spcPct val="35000"/>
            </a:spcAft>
          </a:pPr>
          <a:r>
            <a:rPr lang="en-GB" sz="1300" b="1" kern="1200">
              <a:solidFill>
                <a:schemeClr val="tx1"/>
              </a:solidFill>
              <a:latin typeface="Arial" pitchFamily="34" charset="0"/>
              <a:cs typeface="Arial" pitchFamily="34" charset="0"/>
            </a:rPr>
            <a:t>Apportionment basis</a:t>
          </a:r>
        </a:p>
      </dsp:txBody>
      <dsp:txXfrm>
        <a:off x="15044" y="1441769"/>
        <a:ext cx="1727485" cy="702549"/>
      </dsp:txXfrm>
    </dsp:sp>
    <dsp:sp modelId="{EBAF5B42-043E-4466-A30D-D72293D1263A}">
      <dsp:nvSpPr>
        <dsp:cNvPr id="0" name=""/>
        <dsp:cNvSpPr/>
      </dsp:nvSpPr>
      <dsp:spPr>
        <a:xfrm>
          <a:off x="-73370" y="57332"/>
          <a:ext cx="5712944" cy="3471422"/>
        </a:xfrm>
        <a:prstGeom prst="pie">
          <a:avLst>
            <a:gd name="adj1" fmla="val 12600000"/>
            <a:gd name="adj2" fmla="val 16200000"/>
          </a:avLst>
        </a:prstGeom>
        <a:solidFill>
          <a:schemeClr val="accent5">
            <a:hueOff val="-9933876"/>
            <a:satOff val="39811"/>
            <a:lumOff val="8628"/>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6510" tIns="16510" rIns="0" bIns="16510" numCol="1" spcCol="1270" anchor="ctr" anchorCtr="0">
          <a:noAutofit/>
        </a:bodyPr>
        <a:lstStyle/>
        <a:p>
          <a:pPr lvl="0" algn="ctr" defTabSz="577850">
            <a:lnSpc>
              <a:spcPct val="90000"/>
            </a:lnSpc>
            <a:spcBef>
              <a:spcPct val="0"/>
            </a:spcBef>
            <a:spcAft>
              <a:spcPct val="35000"/>
            </a:spcAft>
          </a:pPr>
          <a:r>
            <a:rPr lang="en-GB" sz="1300" b="1" kern="1200">
              <a:solidFill>
                <a:schemeClr val="tx1"/>
              </a:solidFill>
              <a:latin typeface="Arial" pitchFamily="34" charset="0"/>
              <a:cs typeface="Arial" pitchFamily="34" charset="0"/>
            </a:rPr>
            <a:t>Consultation</a:t>
          </a:r>
        </a:p>
      </dsp:txBody>
      <dsp:txXfrm>
        <a:off x="1055616" y="429270"/>
        <a:ext cx="1666275" cy="74387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60A85-05F6-4012-8171-655550C1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dc:creator>
  <cp:lastModifiedBy>Smith, Julian</cp:lastModifiedBy>
  <cp:revision>9</cp:revision>
  <cp:lastPrinted>2013-03-10T19:30:00Z</cp:lastPrinted>
  <dcterms:created xsi:type="dcterms:W3CDTF">2013-04-26T08:37:00Z</dcterms:created>
  <dcterms:modified xsi:type="dcterms:W3CDTF">2013-05-08T14:07:00Z</dcterms:modified>
</cp:coreProperties>
</file>